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val="0"/>
        <w:snapToGrid w:val="0"/>
        <w:spacing w:line="0" w:lineRule="atLeast"/>
        <w:rPr>
          <w:rFonts w:ascii="方正小标宋简体" w:hAnsi="方正小标宋简体" w:eastAsia="方正小标宋简体" w:cs="方正小标宋简体"/>
          <w:bCs/>
          <w:kern w:val="2"/>
          <w:sz w:val="44"/>
          <w:szCs w:val="44"/>
        </w:rPr>
      </w:pPr>
      <w:bookmarkStart w:id="0" w:name="OLE_LINK58"/>
      <w:bookmarkStart w:id="1" w:name="_Toc52281644"/>
      <w:bookmarkStart w:id="2" w:name="_Toc525203341"/>
      <w:bookmarkStart w:id="3" w:name="_Toc52281653"/>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kern w:val="2"/>
          <w:sz w:val="44"/>
          <w:szCs w:val="44"/>
          <w:lang w:val="en-US" w:eastAsia="zh-CN"/>
        </w:rPr>
      </w:pPr>
      <w:bookmarkStart w:id="4" w:name="OLE_LINK111"/>
      <w:r>
        <w:rPr>
          <w:rFonts w:hint="eastAsia" w:ascii="黑体" w:hAnsi="黑体" w:eastAsia="黑体" w:cs="黑体"/>
          <w:kern w:val="2"/>
          <w:sz w:val="44"/>
          <w:szCs w:val="44"/>
          <w:lang w:val="en-US" w:eastAsia="zh-CN"/>
        </w:rPr>
        <w:t>绍兴市人民政府国有资产监督管理</w:t>
      </w:r>
      <w:bookmarkEnd w:id="0"/>
      <w:bookmarkStart w:id="5" w:name="OLE_LINK59"/>
      <w:r>
        <w:rPr>
          <w:rFonts w:hint="eastAsia" w:ascii="黑体" w:hAnsi="黑体" w:eastAsia="黑体" w:cs="黑体"/>
          <w:kern w:val="2"/>
          <w:sz w:val="44"/>
          <w:szCs w:val="44"/>
          <w:lang w:val="en-US" w:eastAsia="zh-CN"/>
        </w:rPr>
        <w:t>委员会2021年度行政事业性</w:t>
      </w:r>
      <w:bookmarkStart w:id="6" w:name="OLE_LINK13"/>
      <w:r>
        <w:rPr>
          <w:rFonts w:hint="eastAsia" w:ascii="黑体" w:hAnsi="黑体" w:eastAsia="黑体" w:cs="黑体"/>
          <w:kern w:val="2"/>
          <w:sz w:val="44"/>
          <w:szCs w:val="44"/>
          <w:lang w:val="en-US" w:eastAsia="zh-CN"/>
        </w:rPr>
        <w:t>国有资产管理</w:t>
      </w:r>
      <w:bookmarkEnd w:id="6"/>
    </w:p>
    <w:bookmarkEnd w:id="4"/>
    <w:bookmarkEnd w:id="5"/>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kern w:val="2"/>
          <w:sz w:val="44"/>
          <w:szCs w:val="44"/>
          <w:lang w:val="en-US" w:eastAsia="zh-CN"/>
        </w:rPr>
      </w:pPr>
      <w:bookmarkStart w:id="7" w:name="OLE_LINK60"/>
      <w:r>
        <w:rPr>
          <w:rFonts w:hint="eastAsia" w:ascii="黑体" w:hAnsi="黑体" w:eastAsia="黑体" w:cs="黑体"/>
          <w:kern w:val="2"/>
          <w:sz w:val="44"/>
          <w:szCs w:val="44"/>
          <w:lang w:val="en-US" w:eastAsia="zh-CN"/>
        </w:rPr>
        <w:t>绩效评价</w:t>
      </w:r>
      <w:bookmarkStart w:id="117" w:name="_GoBack"/>
      <w:bookmarkEnd w:id="117"/>
      <w:r>
        <w:rPr>
          <w:rFonts w:hint="eastAsia" w:ascii="黑体" w:hAnsi="黑体" w:eastAsia="黑体" w:cs="黑体"/>
          <w:kern w:val="2"/>
          <w:sz w:val="44"/>
          <w:szCs w:val="44"/>
          <w:lang w:val="en-US" w:eastAsia="zh-CN"/>
        </w:rPr>
        <w:t>报告</w:t>
      </w:r>
    </w:p>
    <w:bookmarkEnd w:id="7"/>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firstLine="160" w:firstLineChars="50"/>
        <w:jc w:val="both"/>
        <w:textAlignment w:val="auto"/>
        <w:outlineLvl w:val="9"/>
        <w:rPr>
          <w:rFonts w:hint="eastAsia" w:ascii="黑体" w:hAnsi="黑体" w:eastAsia="黑体" w:cs="黑体"/>
          <w:kern w:val="2"/>
          <w:sz w:val="32"/>
          <w:szCs w:val="32"/>
          <w:lang w:val="en-US" w:eastAsia="zh-CN"/>
        </w:rPr>
      </w:pPr>
      <w:bookmarkStart w:id="8" w:name="OLE_LINK6"/>
    </w:p>
    <w:bookmarkEnd w:id="8"/>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firstLine="160" w:firstLineChars="50"/>
        <w:jc w:val="both"/>
        <w:textAlignment w:val="auto"/>
        <w:outlineLvl w:val="9"/>
        <w:rPr>
          <w:rFonts w:hint="eastAsia" w:ascii="黑体" w:hAnsi="黑体" w:eastAsia="黑体" w:cs="黑体"/>
          <w:kern w:val="2"/>
          <w:sz w:val="32"/>
          <w:szCs w:val="32"/>
          <w:lang w:val="en-US" w:eastAsia="zh-CN"/>
        </w:rPr>
      </w:pPr>
      <w:bookmarkStart w:id="9" w:name="_Toc81238734"/>
      <w:bookmarkStart w:id="10" w:name="_Toc113284996"/>
      <w:bookmarkStart w:id="11" w:name="_Toc114120466"/>
      <w:bookmarkStart w:id="12" w:name="_Toc113284853"/>
      <w:bookmarkStart w:id="13" w:name="_Toc9967"/>
      <w:bookmarkStart w:id="14" w:name="_Toc81238482"/>
      <w:r>
        <w:rPr>
          <w:rFonts w:hint="eastAsia" w:ascii="黑体" w:hAnsi="黑体" w:eastAsia="黑体" w:cs="黑体"/>
          <w:kern w:val="2"/>
          <w:sz w:val="32"/>
          <w:szCs w:val="32"/>
          <w:lang w:val="en-US" w:eastAsia="zh-CN"/>
        </w:rPr>
        <w:t>一、基本情况</w:t>
      </w:r>
      <w:bookmarkEnd w:id="1"/>
      <w:bookmarkEnd w:id="2"/>
      <w:bookmarkEnd w:id="9"/>
      <w:bookmarkEnd w:id="10"/>
      <w:bookmarkEnd w:id="11"/>
      <w:bookmarkEnd w:id="12"/>
      <w:bookmarkEnd w:id="13"/>
      <w:bookmarkEnd w:id="14"/>
    </w:p>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bookmarkStart w:id="15" w:name="OLE_LINK78"/>
      <w:r>
        <w:rPr>
          <w:rFonts w:hint="eastAsia" w:ascii="仿宋_GB2312" w:hAnsi="仿宋_GB2312" w:eastAsia="仿宋_GB2312" w:cs="仿宋_GB2312"/>
          <w:kern w:val="2"/>
          <w:sz w:val="32"/>
          <w:szCs w:val="32"/>
        </w:rPr>
        <w:t>根据市国资委《</w:t>
      </w:r>
      <w:r>
        <w:rPr>
          <w:rFonts w:ascii="仿宋_GB2312" w:hAnsi="仿宋_GB2312" w:eastAsia="仿宋_GB2312" w:cs="仿宋_GB2312"/>
          <w:kern w:val="2"/>
          <w:sz w:val="32"/>
          <w:szCs w:val="32"/>
        </w:rPr>
        <w:t>2021年度行政事业性国有资产报表</w:t>
      </w:r>
      <w:r>
        <w:rPr>
          <w:rFonts w:hint="eastAsia" w:ascii="仿宋_GB2312" w:hAnsi="仿宋_GB2312" w:eastAsia="仿宋_GB2312" w:cs="仿宋_GB2312"/>
          <w:kern w:val="2"/>
          <w:sz w:val="32"/>
          <w:szCs w:val="32"/>
        </w:rPr>
        <w:t>》数据，截止</w:t>
      </w:r>
      <w:r>
        <w:rPr>
          <w:rFonts w:ascii="仿宋_GB2312" w:hAnsi="仿宋_GB2312" w:eastAsia="仿宋_GB2312" w:cs="仿宋_GB2312"/>
          <w:kern w:val="2"/>
          <w:sz w:val="32"/>
          <w:szCs w:val="32"/>
        </w:rPr>
        <w:t>2021</w:t>
      </w:r>
      <w:r>
        <w:rPr>
          <w:rFonts w:hint="eastAsia" w:ascii="仿宋_GB2312" w:hAnsi="仿宋_GB2312" w:eastAsia="仿宋_GB2312" w:cs="仿宋_GB2312"/>
          <w:kern w:val="2"/>
          <w:sz w:val="32"/>
          <w:szCs w:val="32"/>
        </w:rPr>
        <w:t>年</w:t>
      </w:r>
      <w:r>
        <w:rPr>
          <w:rFonts w:ascii="仿宋_GB2312" w:hAnsi="仿宋_GB2312" w:eastAsia="仿宋_GB2312" w:cs="仿宋_GB2312"/>
          <w:kern w:val="2"/>
          <w:sz w:val="32"/>
          <w:szCs w:val="32"/>
        </w:rPr>
        <w:t>12</w:t>
      </w:r>
      <w:r>
        <w:rPr>
          <w:rFonts w:hint="eastAsia" w:ascii="仿宋_GB2312" w:hAnsi="仿宋_GB2312" w:eastAsia="仿宋_GB2312" w:cs="仿宋_GB2312"/>
          <w:kern w:val="2"/>
          <w:sz w:val="32"/>
          <w:szCs w:val="32"/>
        </w:rPr>
        <w:t>月</w:t>
      </w:r>
      <w:r>
        <w:rPr>
          <w:rFonts w:ascii="仿宋_GB2312" w:hAnsi="仿宋_GB2312" w:eastAsia="仿宋_GB2312" w:cs="仿宋_GB2312"/>
          <w:kern w:val="2"/>
          <w:sz w:val="32"/>
          <w:szCs w:val="32"/>
        </w:rPr>
        <w:t>31</w:t>
      </w:r>
      <w:r>
        <w:rPr>
          <w:rFonts w:hint="eastAsia" w:ascii="仿宋_GB2312" w:hAnsi="仿宋_GB2312" w:eastAsia="仿宋_GB2312" w:cs="仿宋_GB2312"/>
          <w:kern w:val="2"/>
          <w:sz w:val="32"/>
          <w:szCs w:val="32"/>
        </w:rPr>
        <w:t>日，市国资委资产</w:t>
      </w:r>
      <w:bookmarkEnd w:id="3"/>
      <w:bookmarkEnd w:id="15"/>
      <w:bookmarkStart w:id="16" w:name="_Toc81238743"/>
      <w:bookmarkStart w:id="17" w:name="_Toc525203350"/>
      <w:bookmarkStart w:id="18" w:name="_Toc24828"/>
      <w:bookmarkStart w:id="19" w:name="_Toc52281654"/>
      <w:bookmarkStart w:id="20" w:name="_Toc81238491"/>
      <w:r>
        <w:rPr>
          <w:rFonts w:hint="eastAsia" w:ascii="仿宋_GB2312" w:hAnsi="仿宋_GB2312" w:eastAsia="仿宋_GB2312" w:cs="仿宋_GB2312"/>
          <w:kern w:val="2"/>
          <w:sz w:val="32"/>
          <w:szCs w:val="32"/>
        </w:rPr>
        <w:t>中房</w:t>
      </w:r>
      <w:r>
        <w:rPr>
          <w:rFonts w:ascii="仿宋_GB2312" w:hAnsi="仿宋_GB2312" w:eastAsia="仿宋_GB2312" w:cs="仿宋_GB2312"/>
          <w:kern w:val="2"/>
          <w:sz w:val="32"/>
          <w:szCs w:val="32"/>
        </w:rPr>
        <w:t>屋及构筑物共计1项</w:t>
      </w:r>
      <w:bookmarkStart w:id="21" w:name="OLE_LINK34"/>
      <w:r>
        <w:rPr>
          <w:rFonts w:ascii="仿宋_GB2312" w:hAnsi="仿宋_GB2312" w:eastAsia="仿宋_GB2312" w:cs="仿宋_GB2312"/>
          <w:kern w:val="2"/>
          <w:sz w:val="32"/>
          <w:szCs w:val="32"/>
        </w:rPr>
        <w:t>，</w:t>
      </w:r>
      <w:bookmarkEnd w:id="21"/>
      <w:r>
        <w:rPr>
          <w:rFonts w:ascii="仿宋_GB2312" w:hAnsi="仿宋_GB2312" w:eastAsia="仿宋_GB2312" w:cs="仿宋_GB2312"/>
          <w:kern w:val="2"/>
          <w:sz w:val="32"/>
          <w:szCs w:val="32"/>
        </w:rPr>
        <w:t>通用设备共计159项</w:t>
      </w:r>
      <w:r>
        <w:rPr>
          <w:rFonts w:hint="eastAsia" w:ascii="仿宋_GB2312" w:hAnsi="仿宋_GB2312" w:eastAsia="仿宋_GB2312" w:cs="仿宋_GB2312"/>
          <w:kern w:val="2"/>
          <w:sz w:val="32"/>
          <w:szCs w:val="32"/>
        </w:rPr>
        <w:t>，</w:t>
      </w:r>
      <w:r>
        <w:rPr>
          <w:rFonts w:ascii="仿宋_GB2312" w:hAnsi="仿宋_GB2312" w:eastAsia="仿宋_GB2312" w:cs="仿宋_GB2312"/>
          <w:kern w:val="2"/>
          <w:sz w:val="32"/>
          <w:szCs w:val="32"/>
        </w:rPr>
        <w:t>家具、用具、装具及动植物共计152项</w:t>
      </w:r>
      <w:r>
        <w:rPr>
          <w:rFonts w:hint="eastAsia" w:ascii="仿宋_GB2312" w:hAnsi="仿宋_GB2312" w:eastAsia="仿宋_GB2312" w:cs="仿宋_GB2312"/>
          <w:kern w:val="2"/>
          <w:sz w:val="32"/>
          <w:szCs w:val="32"/>
        </w:rPr>
        <w:t>，</w:t>
      </w:r>
      <w:r>
        <w:rPr>
          <w:rFonts w:ascii="仿宋_GB2312" w:hAnsi="仿宋_GB2312" w:eastAsia="仿宋_GB2312" w:cs="仿宋_GB2312"/>
          <w:kern w:val="2"/>
          <w:sz w:val="32"/>
          <w:szCs w:val="32"/>
        </w:rPr>
        <w:t>无形资产共计2项。</w:t>
      </w:r>
    </w:p>
    <w:p>
      <w:pPr>
        <w:widowControl w:val="0"/>
        <w:adjustRightInd w:val="0"/>
        <w:snapToGrid w:val="0"/>
        <w:spacing w:line="560" w:lineRule="exact"/>
        <w:ind w:firstLine="640" w:firstLineChars="200"/>
        <w:outlineLvl w:val="0"/>
        <w:rPr>
          <w:rFonts w:ascii="黑体" w:hAnsi="黑体" w:eastAsia="黑体" w:cs="黑体"/>
          <w:kern w:val="2"/>
          <w:sz w:val="32"/>
          <w:szCs w:val="32"/>
        </w:rPr>
      </w:pPr>
      <w:bookmarkStart w:id="22" w:name="_Toc114120469"/>
      <w:bookmarkStart w:id="23" w:name="_Toc8432"/>
      <w:bookmarkStart w:id="24" w:name="_Toc113284997"/>
      <w:bookmarkStart w:id="25" w:name="OLE_LINK36"/>
      <w:bookmarkStart w:id="26" w:name="_Toc113284854"/>
      <w:r>
        <w:rPr>
          <w:rFonts w:hint="eastAsia" w:ascii="黑体" w:hAnsi="黑体" w:eastAsia="黑体" w:cs="黑体"/>
          <w:kern w:val="2"/>
          <w:sz w:val="32"/>
          <w:szCs w:val="32"/>
        </w:rPr>
        <w:t>二、指标分析</w:t>
      </w:r>
      <w:bookmarkEnd w:id="22"/>
      <w:bookmarkEnd w:id="23"/>
    </w:p>
    <w:bookmarkEnd w:id="16"/>
    <w:bookmarkEnd w:id="17"/>
    <w:bookmarkEnd w:id="18"/>
    <w:bookmarkEnd w:id="19"/>
    <w:bookmarkEnd w:id="20"/>
    <w:bookmarkEnd w:id="24"/>
    <w:bookmarkEnd w:id="25"/>
    <w:bookmarkEnd w:id="26"/>
    <w:p>
      <w:pPr>
        <w:widowControl w:val="0"/>
        <w:spacing w:line="360" w:lineRule="auto"/>
        <w:ind w:firstLine="645"/>
        <w:jc w:val="both"/>
        <w:rPr>
          <w:rFonts w:hint="eastAsia" w:ascii="楷体" w:hAnsi="楷体" w:eastAsia="楷体" w:cs="Times New Roman"/>
          <w:b/>
          <w:kern w:val="2"/>
          <w:sz w:val="32"/>
          <w:szCs w:val="32"/>
        </w:rPr>
      </w:pPr>
      <w:bookmarkStart w:id="27" w:name="_Toc114120470"/>
      <w:bookmarkStart w:id="28" w:name="_Toc19545608"/>
      <w:bookmarkStart w:id="29" w:name="_Toc113284855"/>
      <w:bookmarkStart w:id="30" w:name="_Toc113284998"/>
      <w:bookmarkStart w:id="31" w:name="_Toc21970"/>
      <w:bookmarkStart w:id="32" w:name="OLE_LINK2"/>
      <w:r>
        <w:rPr>
          <w:rFonts w:hint="eastAsia" w:ascii="楷体" w:hAnsi="楷体" w:eastAsia="楷体" w:cs="Times New Roman"/>
          <w:b/>
          <w:kern w:val="2"/>
          <w:sz w:val="32"/>
          <w:szCs w:val="32"/>
        </w:rPr>
        <w:t>（一）总体评价结论</w:t>
      </w:r>
      <w:bookmarkEnd w:id="27"/>
      <w:bookmarkEnd w:id="28"/>
      <w:bookmarkEnd w:id="29"/>
      <w:bookmarkEnd w:id="30"/>
      <w:bookmarkEnd w:id="31"/>
    </w:p>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r>
        <w:rPr>
          <w:rFonts w:ascii="仿宋_GB2312" w:hAnsi="仿宋_GB2312" w:eastAsia="仿宋_GB2312" w:cs="仿宋_GB2312"/>
          <w:kern w:val="2"/>
          <w:sz w:val="32"/>
          <w:szCs w:val="32"/>
        </w:rPr>
        <w:t>根据《绍兴市预算绩效管理办法》，绍兴市人民政府国有资产监督管理委员会2021年度行政事业性国有资产管理</w:t>
      </w:r>
      <w:r>
        <w:rPr>
          <w:rFonts w:hint="eastAsia" w:ascii="仿宋_GB2312" w:hAnsi="仿宋_GB2312" w:eastAsia="仿宋_GB2312" w:cs="仿宋_GB2312"/>
          <w:kern w:val="2"/>
          <w:sz w:val="32"/>
          <w:szCs w:val="32"/>
        </w:rPr>
        <w:t>绩效评价</w:t>
      </w:r>
      <w:r>
        <w:rPr>
          <w:rFonts w:ascii="仿宋_GB2312" w:hAnsi="仿宋_GB2312" w:eastAsia="仿宋_GB2312" w:cs="仿宋_GB2312"/>
          <w:kern w:val="2"/>
          <w:sz w:val="32"/>
          <w:szCs w:val="32"/>
        </w:rPr>
        <w:t>得分</w:t>
      </w:r>
      <w:r>
        <w:rPr>
          <w:rFonts w:hint="eastAsia" w:ascii="仿宋_GB2312" w:hAnsi="仿宋_GB2312" w:eastAsia="仿宋_GB2312" w:cs="仿宋_GB2312"/>
          <w:kern w:val="2"/>
          <w:sz w:val="32"/>
          <w:szCs w:val="32"/>
        </w:rPr>
        <w:t>8</w:t>
      </w:r>
      <w:r>
        <w:rPr>
          <w:rFonts w:ascii="仿宋_GB2312" w:hAnsi="仿宋_GB2312" w:eastAsia="仿宋_GB2312" w:cs="仿宋_GB2312"/>
          <w:kern w:val="2"/>
          <w:sz w:val="32"/>
          <w:szCs w:val="32"/>
        </w:rPr>
        <w:t>2.30分，绩效等级为“</w:t>
      </w:r>
      <w:r>
        <w:rPr>
          <w:rFonts w:hint="eastAsia" w:ascii="仿宋_GB2312" w:hAnsi="仿宋_GB2312" w:eastAsia="仿宋_GB2312" w:cs="仿宋_GB2312"/>
          <w:kern w:val="2"/>
          <w:sz w:val="32"/>
          <w:szCs w:val="32"/>
        </w:rPr>
        <w:t>良</w:t>
      </w:r>
      <w:r>
        <w:rPr>
          <w:rFonts w:ascii="仿宋_GB2312" w:hAnsi="仿宋_GB2312" w:eastAsia="仿宋_GB2312" w:cs="仿宋_GB2312"/>
          <w:kern w:val="2"/>
          <w:sz w:val="32"/>
          <w:szCs w:val="32"/>
        </w:rPr>
        <w:t>”。</w:t>
      </w:r>
    </w:p>
    <w:p>
      <w:pPr>
        <w:widowControl w:val="0"/>
        <w:spacing w:line="360" w:lineRule="auto"/>
        <w:ind w:firstLine="645"/>
        <w:jc w:val="both"/>
        <w:rPr>
          <w:rFonts w:hint="eastAsia" w:ascii="楷体" w:hAnsi="楷体" w:eastAsia="楷体" w:cs="Times New Roman"/>
          <w:b/>
          <w:kern w:val="2"/>
          <w:sz w:val="32"/>
          <w:szCs w:val="32"/>
        </w:rPr>
      </w:pPr>
      <w:bookmarkStart w:id="33" w:name="_Toc27575"/>
      <w:bookmarkStart w:id="34" w:name="_Toc113284856"/>
      <w:bookmarkStart w:id="35" w:name="_Toc113284999"/>
      <w:bookmarkStart w:id="36" w:name="_Toc114120471"/>
      <w:r>
        <w:rPr>
          <w:rFonts w:hint="eastAsia" w:ascii="楷体" w:hAnsi="楷体" w:eastAsia="楷体" w:cs="Times New Roman"/>
          <w:b/>
          <w:kern w:val="2"/>
          <w:sz w:val="32"/>
          <w:szCs w:val="32"/>
        </w:rPr>
        <w:t>（二）资产管理基础工作情况</w:t>
      </w:r>
      <w:bookmarkEnd w:id="32"/>
      <w:bookmarkEnd w:id="33"/>
      <w:bookmarkEnd w:id="34"/>
      <w:bookmarkEnd w:id="35"/>
      <w:bookmarkEnd w:id="36"/>
    </w:p>
    <w:p>
      <w:pPr>
        <w:widowControl w:val="0"/>
        <w:ind w:firstLine="642" w:firstLineChars="200"/>
        <w:jc w:val="both"/>
        <w:rPr>
          <w:rFonts w:hint="eastAsia" w:ascii="仿宋" w:hAnsi="仿宋" w:eastAsia="仿宋" w:cs="仿宋"/>
          <w:b/>
          <w:bCs/>
          <w:color w:val="auto"/>
          <w:kern w:val="2"/>
          <w:sz w:val="32"/>
          <w:szCs w:val="32"/>
        </w:rPr>
      </w:pPr>
      <w:r>
        <w:rPr>
          <w:rFonts w:hint="eastAsia" w:ascii="仿宋" w:hAnsi="仿宋" w:eastAsia="仿宋" w:cs="仿宋"/>
          <w:b/>
          <w:bCs/>
          <w:color w:val="auto"/>
          <w:kern w:val="2"/>
          <w:sz w:val="32"/>
          <w:szCs w:val="32"/>
        </w:rPr>
        <w:t>1.制度建设</w:t>
      </w:r>
    </w:p>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bookmarkStart w:id="37" w:name="OLE_LINK8"/>
      <w:r>
        <w:rPr>
          <w:rFonts w:ascii="仿宋_GB2312" w:hAnsi="仿宋_GB2312" w:eastAsia="仿宋_GB2312" w:cs="仿宋_GB2312"/>
          <w:kern w:val="2"/>
          <w:sz w:val="32"/>
          <w:szCs w:val="32"/>
        </w:rPr>
        <w:t>市国资委</w:t>
      </w:r>
      <w:bookmarkEnd w:id="37"/>
      <w:r>
        <w:rPr>
          <w:rFonts w:ascii="仿宋_GB2312" w:hAnsi="仿宋_GB2312" w:eastAsia="仿宋_GB2312" w:cs="仿宋_GB2312"/>
          <w:kern w:val="2"/>
          <w:sz w:val="32"/>
          <w:szCs w:val="32"/>
        </w:rPr>
        <w:t>建立了资产管理制度和资产管理责任机制</w:t>
      </w:r>
      <w:r>
        <w:rPr>
          <w:rFonts w:hint="eastAsia" w:ascii="仿宋_GB2312" w:hAnsi="仿宋_GB2312" w:eastAsia="仿宋_GB2312" w:cs="仿宋_GB2312"/>
          <w:kern w:val="2"/>
          <w:sz w:val="32"/>
          <w:szCs w:val="32"/>
        </w:rPr>
        <w:t>。</w:t>
      </w:r>
      <w:bookmarkStart w:id="38" w:name="OLE_LINK5"/>
      <w:r>
        <w:rPr>
          <w:rFonts w:hint="eastAsia" w:ascii="仿宋_GB2312" w:hAnsi="仿宋_GB2312" w:eastAsia="仿宋_GB2312" w:cs="仿宋_GB2312"/>
          <w:kern w:val="2"/>
          <w:sz w:val="32"/>
          <w:szCs w:val="32"/>
        </w:rPr>
        <w:t>市国资委于2</w:t>
      </w:r>
      <w:r>
        <w:rPr>
          <w:rFonts w:ascii="仿宋_GB2312" w:hAnsi="仿宋_GB2312" w:eastAsia="仿宋_GB2312" w:cs="仿宋_GB2312"/>
          <w:kern w:val="2"/>
          <w:sz w:val="32"/>
          <w:szCs w:val="32"/>
        </w:rPr>
        <w:t>018</w:t>
      </w:r>
      <w:r>
        <w:rPr>
          <w:rFonts w:hint="eastAsia" w:ascii="仿宋_GB2312" w:hAnsi="仿宋_GB2312" w:eastAsia="仿宋_GB2312" w:cs="仿宋_GB2312"/>
          <w:kern w:val="2"/>
          <w:sz w:val="32"/>
          <w:szCs w:val="32"/>
        </w:rPr>
        <w:t>年4月发布《工作制度汇编》，其中</w:t>
      </w:r>
      <w:bookmarkStart w:id="39" w:name="OLE_LINK4"/>
      <w:r>
        <w:rPr>
          <w:rFonts w:hint="eastAsia" w:ascii="仿宋_GB2312" w:hAnsi="仿宋_GB2312" w:eastAsia="仿宋_GB2312" w:cs="仿宋_GB2312"/>
          <w:kern w:val="2"/>
          <w:sz w:val="32"/>
          <w:szCs w:val="32"/>
        </w:rPr>
        <w:t>《资产管理制度》</w:t>
      </w:r>
      <w:bookmarkEnd w:id="38"/>
      <w:r>
        <w:rPr>
          <w:rFonts w:hint="eastAsia" w:ascii="仿宋_GB2312" w:hAnsi="仿宋_GB2312" w:eastAsia="仿宋_GB2312" w:cs="仿宋_GB2312"/>
          <w:kern w:val="2"/>
          <w:sz w:val="32"/>
          <w:szCs w:val="32"/>
        </w:rPr>
        <w:t>规定了国有资产的管理部门、资产使用、资产配置、资产内部流动、资产报废处置、资产借用、资产交接、损毁赔偿责任等内容。</w:t>
      </w:r>
    </w:p>
    <w:bookmarkEnd w:id="39"/>
    <w:p>
      <w:pPr>
        <w:widowControl w:val="0"/>
        <w:ind w:firstLine="642" w:firstLineChars="200"/>
        <w:jc w:val="both"/>
        <w:rPr>
          <w:rFonts w:hint="eastAsia" w:ascii="仿宋" w:hAnsi="仿宋" w:eastAsia="仿宋" w:cs="仿宋"/>
          <w:b/>
          <w:bCs/>
          <w:color w:val="auto"/>
          <w:kern w:val="2"/>
          <w:sz w:val="32"/>
          <w:szCs w:val="32"/>
        </w:rPr>
      </w:pPr>
      <w:r>
        <w:rPr>
          <w:rFonts w:hint="eastAsia" w:ascii="仿宋" w:hAnsi="仿宋" w:eastAsia="仿宋" w:cs="仿宋"/>
          <w:b/>
          <w:bCs/>
          <w:color w:val="auto"/>
          <w:kern w:val="2"/>
          <w:sz w:val="32"/>
          <w:szCs w:val="32"/>
        </w:rPr>
        <w:t>2.管理能力建设</w:t>
      </w:r>
    </w:p>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bookmarkStart w:id="40" w:name="OLE_LINK125"/>
      <w:r>
        <w:rPr>
          <w:rFonts w:ascii="仿宋_GB2312" w:hAnsi="仿宋_GB2312" w:eastAsia="仿宋_GB2312" w:cs="仿宋_GB2312"/>
          <w:kern w:val="2"/>
          <w:sz w:val="32"/>
          <w:szCs w:val="32"/>
        </w:rPr>
        <w:t>单位领导重视资产管理工作，</w:t>
      </w:r>
      <w:bookmarkEnd w:id="40"/>
      <w:r>
        <w:rPr>
          <w:rFonts w:ascii="仿宋_GB2312" w:hAnsi="仿宋_GB2312" w:eastAsia="仿宋_GB2312" w:cs="仿宋_GB2312"/>
          <w:kern w:val="2"/>
          <w:sz w:val="32"/>
          <w:szCs w:val="32"/>
        </w:rPr>
        <w:t>国有资产管理工作机构</w:t>
      </w:r>
      <w:r>
        <w:rPr>
          <w:rFonts w:hint="eastAsia" w:ascii="仿宋_GB2312" w:hAnsi="仿宋_GB2312" w:eastAsia="仿宋_GB2312" w:cs="仿宋_GB2312"/>
          <w:kern w:val="2"/>
          <w:sz w:val="32"/>
          <w:szCs w:val="32"/>
        </w:rPr>
        <w:t>明确为办公室，</w:t>
      </w:r>
      <w:r>
        <w:rPr>
          <w:rFonts w:ascii="仿宋_GB2312" w:hAnsi="仿宋_GB2312" w:eastAsia="仿宋_GB2312" w:cs="仿宋_GB2312"/>
          <w:kern w:val="2"/>
          <w:sz w:val="32"/>
          <w:szCs w:val="32"/>
        </w:rPr>
        <w:t>配备国有资产专职管理人员</w:t>
      </w:r>
      <w:r>
        <w:rPr>
          <w:rFonts w:hint="eastAsia" w:ascii="仿宋_GB2312" w:hAnsi="仿宋_GB2312" w:eastAsia="仿宋_GB2312" w:cs="仿宋_GB2312"/>
          <w:kern w:val="2"/>
          <w:sz w:val="32"/>
          <w:szCs w:val="32"/>
        </w:rPr>
        <w:t>。</w:t>
      </w:r>
    </w:p>
    <w:p>
      <w:pPr>
        <w:widowControl w:val="0"/>
        <w:ind w:firstLine="642" w:firstLineChars="200"/>
        <w:jc w:val="both"/>
        <w:rPr>
          <w:rFonts w:hint="eastAsia" w:ascii="仿宋" w:hAnsi="仿宋" w:eastAsia="仿宋" w:cs="仿宋"/>
          <w:b/>
          <w:bCs/>
          <w:color w:val="auto"/>
          <w:kern w:val="2"/>
          <w:sz w:val="32"/>
          <w:szCs w:val="32"/>
        </w:rPr>
      </w:pPr>
      <w:r>
        <w:rPr>
          <w:rFonts w:hint="eastAsia" w:ascii="仿宋" w:hAnsi="仿宋" w:eastAsia="仿宋" w:cs="仿宋"/>
          <w:b/>
          <w:bCs/>
          <w:color w:val="auto"/>
          <w:kern w:val="2"/>
          <w:sz w:val="32"/>
          <w:szCs w:val="32"/>
        </w:rPr>
        <w:t>3.报表报送情况</w:t>
      </w:r>
    </w:p>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bookmarkStart w:id="41" w:name="OLE_LINK55"/>
      <w:r>
        <w:rPr>
          <w:rFonts w:hint="eastAsia" w:ascii="仿宋_GB2312" w:hAnsi="仿宋_GB2312" w:eastAsia="仿宋_GB2312" w:cs="仿宋_GB2312"/>
          <w:kern w:val="2"/>
          <w:sz w:val="32"/>
          <w:szCs w:val="32"/>
        </w:rPr>
        <w:t>市国资委在</w:t>
      </w:r>
      <w:bookmarkEnd w:id="41"/>
      <w:r>
        <w:rPr>
          <w:rFonts w:hint="eastAsia" w:ascii="仿宋_GB2312" w:hAnsi="仿宋_GB2312" w:eastAsia="仿宋_GB2312" w:cs="仿宋_GB2312"/>
          <w:kern w:val="2"/>
          <w:sz w:val="32"/>
          <w:szCs w:val="32"/>
        </w:rPr>
        <w:t>2021年度</w:t>
      </w:r>
      <w:r>
        <w:rPr>
          <w:rFonts w:ascii="仿宋_GB2312" w:hAnsi="仿宋_GB2312" w:eastAsia="仿宋_GB2312" w:cs="仿宋_GB2312"/>
          <w:kern w:val="2"/>
          <w:sz w:val="32"/>
          <w:szCs w:val="32"/>
        </w:rPr>
        <w:t>按时报送月度资产报表、年度资产报表及报表分析和资产配置计划</w:t>
      </w:r>
      <w:bookmarkStart w:id="42" w:name="OLE_LINK79"/>
      <w:r>
        <w:rPr>
          <w:rFonts w:hint="eastAsia" w:ascii="仿宋_GB2312" w:hAnsi="仿宋_GB2312" w:eastAsia="仿宋_GB2312" w:cs="仿宋_GB2312"/>
          <w:kern w:val="2"/>
          <w:sz w:val="32"/>
          <w:szCs w:val="32"/>
        </w:rPr>
        <w:t>，</w:t>
      </w:r>
      <w:bookmarkEnd w:id="42"/>
      <w:r>
        <w:rPr>
          <w:rFonts w:hint="eastAsia" w:ascii="仿宋_GB2312" w:hAnsi="仿宋_GB2312" w:eastAsia="仿宋_GB2312" w:cs="仿宋_GB2312"/>
          <w:kern w:val="2"/>
          <w:sz w:val="32"/>
          <w:szCs w:val="32"/>
        </w:rPr>
        <w:t>积极配合财政部门工作。</w:t>
      </w:r>
    </w:p>
    <w:p>
      <w:pPr>
        <w:widowControl w:val="0"/>
        <w:spacing w:line="360" w:lineRule="auto"/>
        <w:ind w:firstLine="645"/>
        <w:jc w:val="both"/>
        <w:rPr>
          <w:rFonts w:hint="eastAsia" w:ascii="楷体" w:hAnsi="楷体" w:eastAsia="楷体" w:cs="Times New Roman"/>
          <w:b/>
          <w:kern w:val="2"/>
          <w:sz w:val="32"/>
          <w:szCs w:val="32"/>
        </w:rPr>
      </w:pPr>
      <w:bookmarkStart w:id="43" w:name="_Toc22108"/>
      <w:bookmarkStart w:id="44" w:name="_Toc114120472"/>
      <w:bookmarkStart w:id="45" w:name="_Toc113285000"/>
      <w:bookmarkStart w:id="46" w:name="_Toc113284857"/>
      <w:bookmarkStart w:id="47" w:name="OLE_LINK72"/>
      <w:r>
        <w:rPr>
          <w:rFonts w:hint="eastAsia" w:ascii="楷体" w:hAnsi="楷体" w:eastAsia="楷体" w:cs="Times New Roman"/>
          <w:b/>
          <w:kern w:val="2"/>
          <w:sz w:val="32"/>
          <w:szCs w:val="32"/>
        </w:rPr>
        <w:t>（三）资产管理规范情况</w:t>
      </w:r>
      <w:bookmarkEnd w:id="43"/>
      <w:bookmarkEnd w:id="44"/>
      <w:bookmarkEnd w:id="45"/>
      <w:bookmarkEnd w:id="46"/>
    </w:p>
    <w:bookmarkEnd w:id="47"/>
    <w:p>
      <w:pPr>
        <w:widowControl w:val="0"/>
        <w:ind w:firstLine="642" w:firstLineChars="200"/>
        <w:jc w:val="both"/>
        <w:rPr>
          <w:rFonts w:hint="eastAsia" w:ascii="仿宋" w:hAnsi="仿宋" w:eastAsia="仿宋" w:cs="仿宋"/>
          <w:b/>
          <w:bCs/>
          <w:color w:val="auto"/>
          <w:kern w:val="2"/>
          <w:sz w:val="32"/>
          <w:szCs w:val="32"/>
        </w:rPr>
      </w:pPr>
      <w:r>
        <w:rPr>
          <w:rFonts w:hint="eastAsia" w:ascii="仿宋" w:hAnsi="仿宋" w:eastAsia="仿宋" w:cs="仿宋"/>
          <w:b/>
          <w:bCs/>
          <w:color w:val="auto"/>
          <w:kern w:val="2"/>
          <w:sz w:val="32"/>
          <w:szCs w:val="32"/>
        </w:rPr>
        <w:t>1.配置计划执行</w:t>
      </w:r>
    </w:p>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市国资委2021年度除个别资产略微超标配置外，其余资产均按</w:t>
      </w:r>
      <w:r>
        <w:rPr>
          <w:rFonts w:ascii="仿宋_GB2312" w:hAnsi="仿宋_GB2312" w:eastAsia="仿宋_GB2312" w:cs="仿宋_GB2312"/>
          <w:kern w:val="2"/>
          <w:sz w:val="32"/>
          <w:szCs w:val="32"/>
        </w:rPr>
        <w:t>资产配置预算，</w:t>
      </w:r>
      <w:r>
        <w:rPr>
          <w:rFonts w:hint="eastAsia" w:ascii="仿宋_GB2312" w:hAnsi="仿宋_GB2312" w:eastAsia="仿宋_GB2312" w:cs="仿宋_GB2312"/>
          <w:kern w:val="2"/>
          <w:sz w:val="32"/>
          <w:szCs w:val="32"/>
        </w:rPr>
        <w:t>履行</w:t>
      </w:r>
      <w:r>
        <w:rPr>
          <w:rFonts w:ascii="仿宋_GB2312" w:hAnsi="仿宋_GB2312" w:eastAsia="仿宋_GB2312" w:cs="仿宋_GB2312"/>
          <w:kern w:val="2"/>
          <w:sz w:val="32"/>
          <w:szCs w:val="32"/>
        </w:rPr>
        <w:t>新增资产配置程序</w:t>
      </w:r>
      <w:r>
        <w:rPr>
          <w:rFonts w:hint="eastAsia" w:ascii="仿宋_GB2312" w:hAnsi="仿宋_GB2312" w:eastAsia="仿宋_GB2312" w:cs="仿宋_GB2312"/>
          <w:kern w:val="2"/>
          <w:sz w:val="32"/>
          <w:szCs w:val="32"/>
        </w:rPr>
        <w:t>。</w:t>
      </w:r>
    </w:p>
    <w:p>
      <w:pPr>
        <w:widowControl w:val="0"/>
        <w:ind w:firstLine="642" w:firstLineChars="200"/>
        <w:jc w:val="both"/>
        <w:rPr>
          <w:rFonts w:hint="eastAsia" w:ascii="仿宋" w:hAnsi="仿宋" w:eastAsia="仿宋" w:cs="仿宋"/>
          <w:b/>
          <w:bCs/>
          <w:color w:val="auto"/>
          <w:kern w:val="2"/>
          <w:sz w:val="32"/>
          <w:szCs w:val="32"/>
        </w:rPr>
      </w:pPr>
      <w:r>
        <w:rPr>
          <w:rFonts w:hint="eastAsia" w:ascii="仿宋" w:hAnsi="仿宋" w:eastAsia="仿宋" w:cs="仿宋"/>
          <w:b/>
          <w:bCs/>
          <w:color w:val="auto"/>
          <w:kern w:val="2"/>
          <w:sz w:val="32"/>
          <w:szCs w:val="32"/>
        </w:rPr>
        <w:t>2.政府集中采购情况</w:t>
      </w:r>
    </w:p>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市国资委2021年度</w:t>
      </w:r>
      <w:r>
        <w:rPr>
          <w:rFonts w:ascii="仿宋_GB2312" w:hAnsi="仿宋_GB2312" w:eastAsia="仿宋_GB2312" w:cs="仿宋_GB2312"/>
          <w:kern w:val="2"/>
          <w:sz w:val="32"/>
          <w:szCs w:val="32"/>
        </w:rPr>
        <w:t>政府集中采购执行情况良好，良好的集中采购执行情况是节约财政支出、提高财政资金运作透明度、加强廉政建设的重要保障。</w:t>
      </w:r>
    </w:p>
    <w:p>
      <w:pPr>
        <w:widowControl w:val="0"/>
        <w:ind w:firstLine="642" w:firstLineChars="200"/>
        <w:jc w:val="both"/>
        <w:rPr>
          <w:rFonts w:hint="eastAsia" w:ascii="仿宋" w:hAnsi="仿宋" w:eastAsia="仿宋" w:cs="仿宋"/>
          <w:b/>
          <w:bCs/>
          <w:color w:val="auto"/>
          <w:kern w:val="2"/>
          <w:sz w:val="32"/>
          <w:szCs w:val="32"/>
        </w:rPr>
      </w:pPr>
      <w:r>
        <w:rPr>
          <w:rFonts w:hint="eastAsia" w:ascii="仿宋" w:hAnsi="仿宋" w:eastAsia="仿宋" w:cs="仿宋"/>
          <w:b/>
          <w:bCs/>
          <w:color w:val="auto"/>
          <w:kern w:val="2"/>
          <w:sz w:val="32"/>
          <w:szCs w:val="32"/>
        </w:rPr>
        <w:t>3.</w:t>
      </w:r>
      <w:bookmarkStart w:id="48" w:name="OLE_LINK71"/>
      <w:r>
        <w:rPr>
          <w:rFonts w:hint="eastAsia" w:ascii="仿宋" w:hAnsi="仿宋" w:eastAsia="仿宋" w:cs="仿宋"/>
          <w:b/>
          <w:bCs/>
          <w:color w:val="auto"/>
          <w:kern w:val="2"/>
          <w:sz w:val="32"/>
          <w:szCs w:val="32"/>
        </w:rPr>
        <w:t>资产使用管理情况</w:t>
      </w:r>
      <w:bookmarkEnd w:id="48"/>
    </w:p>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bookmarkStart w:id="49" w:name="OLE_LINK73"/>
      <w:r>
        <w:rPr>
          <w:rFonts w:ascii="仿宋_GB2312" w:hAnsi="仿宋_GB2312" w:eastAsia="仿宋_GB2312" w:cs="仿宋_GB2312"/>
          <w:kern w:val="2"/>
          <w:sz w:val="32"/>
          <w:szCs w:val="32"/>
        </w:rPr>
        <w:t>市国资委2021年度</w:t>
      </w:r>
      <w:r>
        <w:rPr>
          <w:rFonts w:hint="eastAsia" w:ascii="仿宋_GB2312" w:hAnsi="仿宋_GB2312" w:eastAsia="仿宋_GB2312" w:cs="仿宋_GB2312"/>
          <w:kern w:val="2"/>
          <w:sz w:val="32"/>
          <w:szCs w:val="32"/>
        </w:rPr>
        <w:t>无在建工程</w:t>
      </w:r>
      <w:bookmarkStart w:id="50" w:name="OLE_LINK70"/>
      <w:r>
        <w:rPr>
          <w:rFonts w:hint="eastAsia" w:ascii="仿宋_GB2312" w:hAnsi="仿宋_GB2312" w:eastAsia="仿宋_GB2312" w:cs="仿宋_GB2312"/>
          <w:kern w:val="2"/>
          <w:sz w:val="32"/>
          <w:szCs w:val="32"/>
        </w:rPr>
        <w:t>，未发生资产调拨</w:t>
      </w:r>
      <w:bookmarkEnd w:id="50"/>
      <w:bookmarkStart w:id="51" w:name="OLE_LINK69"/>
      <w:r>
        <w:rPr>
          <w:rFonts w:hint="eastAsia" w:ascii="仿宋_GB2312" w:hAnsi="仿宋_GB2312" w:eastAsia="仿宋_GB2312" w:cs="仿宋_GB2312"/>
          <w:kern w:val="2"/>
          <w:sz w:val="32"/>
          <w:szCs w:val="32"/>
        </w:rPr>
        <w:t>，</w:t>
      </w:r>
      <w:r>
        <w:rPr>
          <w:rFonts w:ascii="仿宋_GB2312" w:hAnsi="仿宋_GB2312" w:eastAsia="仿宋_GB2312" w:cs="仿宋_GB2312"/>
          <w:kern w:val="2"/>
          <w:sz w:val="32"/>
          <w:szCs w:val="32"/>
        </w:rPr>
        <w:t>无出租出借事项</w:t>
      </w:r>
      <w:bookmarkEnd w:id="51"/>
      <w:r>
        <w:rPr>
          <w:rFonts w:hint="eastAsia" w:ascii="仿宋_GB2312" w:hAnsi="仿宋_GB2312" w:eastAsia="仿宋_GB2312" w:cs="仿宋_GB2312"/>
          <w:kern w:val="2"/>
          <w:sz w:val="32"/>
          <w:szCs w:val="32"/>
        </w:rPr>
        <w:t>，</w:t>
      </w:r>
      <w:r>
        <w:rPr>
          <w:rFonts w:ascii="仿宋_GB2312" w:hAnsi="仿宋_GB2312" w:eastAsia="仿宋_GB2312" w:cs="仿宋_GB2312"/>
          <w:kern w:val="2"/>
          <w:sz w:val="32"/>
          <w:szCs w:val="32"/>
        </w:rPr>
        <w:t>无对外投资事项</w:t>
      </w:r>
      <w:r>
        <w:rPr>
          <w:rFonts w:hint="eastAsia" w:ascii="仿宋_GB2312" w:hAnsi="仿宋_GB2312" w:eastAsia="仿宋_GB2312" w:cs="仿宋_GB2312"/>
          <w:kern w:val="2"/>
          <w:sz w:val="32"/>
          <w:szCs w:val="32"/>
        </w:rPr>
        <w:t>。房屋产权证信息</w:t>
      </w:r>
      <w:r>
        <w:rPr>
          <w:rFonts w:ascii="仿宋_GB2312" w:hAnsi="仿宋_GB2312" w:eastAsia="仿宋_GB2312" w:cs="仿宋_GB2312"/>
          <w:kern w:val="2"/>
          <w:sz w:val="32"/>
          <w:szCs w:val="32"/>
        </w:rPr>
        <w:t>与国有资产报表信息一致</w:t>
      </w:r>
      <w:r>
        <w:rPr>
          <w:rFonts w:hint="eastAsia" w:ascii="仿宋_GB2312" w:hAnsi="仿宋_GB2312" w:eastAsia="仿宋_GB2312" w:cs="仿宋_GB2312"/>
          <w:kern w:val="2"/>
          <w:sz w:val="32"/>
          <w:szCs w:val="32"/>
        </w:rPr>
        <w:t>。</w:t>
      </w:r>
    </w:p>
    <w:bookmarkEnd w:id="49"/>
    <w:p>
      <w:pPr>
        <w:widowControl w:val="0"/>
        <w:ind w:firstLine="642" w:firstLineChars="200"/>
        <w:jc w:val="both"/>
        <w:rPr>
          <w:rFonts w:hint="eastAsia" w:ascii="仿宋" w:hAnsi="仿宋" w:eastAsia="仿宋" w:cs="仿宋"/>
          <w:b/>
          <w:bCs/>
          <w:color w:val="auto"/>
          <w:kern w:val="2"/>
          <w:sz w:val="32"/>
          <w:szCs w:val="32"/>
        </w:rPr>
      </w:pPr>
      <w:bookmarkStart w:id="52" w:name="OLE_LINK74"/>
      <w:r>
        <w:rPr>
          <w:rFonts w:hint="eastAsia" w:ascii="仿宋" w:hAnsi="仿宋" w:eastAsia="仿宋" w:cs="仿宋"/>
          <w:b/>
          <w:bCs/>
          <w:color w:val="auto"/>
          <w:kern w:val="2"/>
          <w:sz w:val="32"/>
          <w:szCs w:val="32"/>
        </w:rPr>
        <w:t>4.资产处置情况</w:t>
      </w:r>
    </w:p>
    <w:bookmarkEnd w:id="52"/>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r>
        <w:rPr>
          <w:rFonts w:ascii="仿宋_GB2312" w:hAnsi="仿宋_GB2312" w:eastAsia="仿宋_GB2312" w:cs="仿宋_GB2312"/>
          <w:kern w:val="2"/>
          <w:sz w:val="32"/>
          <w:szCs w:val="32"/>
        </w:rPr>
        <w:t>市国资委2021年度无资产处置事项发生</w:t>
      </w:r>
      <w:r>
        <w:rPr>
          <w:rFonts w:hint="eastAsia" w:ascii="仿宋_GB2312" w:hAnsi="仿宋_GB2312" w:eastAsia="仿宋_GB2312" w:cs="仿宋_GB2312"/>
          <w:kern w:val="2"/>
          <w:sz w:val="32"/>
          <w:szCs w:val="32"/>
        </w:rPr>
        <w:t>。</w:t>
      </w:r>
    </w:p>
    <w:p>
      <w:pPr>
        <w:widowControl w:val="0"/>
        <w:ind w:firstLine="642" w:firstLineChars="200"/>
        <w:jc w:val="both"/>
        <w:rPr>
          <w:rFonts w:hint="eastAsia" w:ascii="仿宋" w:hAnsi="仿宋" w:eastAsia="仿宋" w:cs="仿宋"/>
          <w:b/>
          <w:bCs/>
          <w:color w:val="auto"/>
          <w:kern w:val="2"/>
          <w:sz w:val="32"/>
          <w:szCs w:val="32"/>
        </w:rPr>
      </w:pPr>
      <w:r>
        <w:rPr>
          <w:rFonts w:hint="eastAsia" w:ascii="仿宋" w:hAnsi="仿宋" w:eastAsia="仿宋" w:cs="仿宋"/>
          <w:b/>
          <w:bCs/>
          <w:color w:val="auto"/>
          <w:kern w:val="2"/>
          <w:sz w:val="32"/>
          <w:szCs w:val="32"/>
        </w:rPr>
        <w:t>5.收入收缴管理情况</w:t>
      </w:r>
    </w:p>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bookmarkStart w:id="53" w:name="OLE_LINK15"/>
      <w:r>
        <w:rPr>
          <w:rFonts w:hint="eastAsia" w:ascii="仿宋_GB2312" w:hAnsi="仿宋_GB2312" w:eastAsia="仿宋_GB2312" w:cs="仿宋_GB2312"/>
          <w:kern w:val="2"/>
          <w:sz w:val="32"/>
          <w:szCs w:val="32"/>
        </w:rPr>
        <w:t>市国资委2021年度</w:t>
      </w:r>
      <w:bookmarkStart w:id="54" w:name="OLE_LINK35"/>
      <w:r>
        <w:rPr>
          <w:rFonts w:ascii="仿宋_GB2312" w:hAnsi="仿宋_GB2312" w:eastAsia="仿宋_GB2312" w:cs="仿宋_GB2312"/>
          <w:kern w:val="2"/>
          <w:sz w:val="32"/>
          <w:szCs w:val="32"/>
        </w:rPr>
        <w:t>无资产处置收入、出租收入及对外担保收入。</w:t>
      </w:r>
      <w:bookmarkEnd w:id="53"/>
      <w:bookmarkEnd w:id="54"/>
      <w:bookmarkStart w:id="55" w:name="_Toc113284858"/>
      <w:bookmarkStart w:id="56" w:name="_Toc113285001"/>
    </w:p>
    <w:p>
      <w:pPr>
        <w:widowControl w:val="0"/>
        <w:spacing w:line="360" w:lineRule="auto"/>
        <w:ind w:firstLine="645"/>
        <w:jc w:val="both"/>
        <w:rPr>
          <w:rFonts w:hint="eastAsia" w:ascii="楷体" w:hAnsi="楷体" w:eastAsia="楷体" w:cs="Times New Roman"/>
          <w:b/>
          <w:kern w:val="2"/>
          <w:sz w:val="32"/>
          <w:szCs w:val="32"/>
        </w:rPr>
      </w:pPr>
      <w:bookmarkStart w:id="57" w:name="_Toc114120473"/>
      <w:bookmarkStart w:id="58" w:name="_Toc29604"/>
      <w:r>
        <w:rPr>
          <w:rFonts w:hint="eastAsia" w:ascii="楷体" w:hAnsi="楷体" w:eastAsia="楷体" w:cs="Times New Roman"/>
          <w:b/>
          <w:kern w:val="2"/>
          <w:sz w:val="32"/>
          <w:szCs w:val="32"/>
        </w:rPr>
        <w:t>（四）资产管理效果</w:t>
      </w:r>
      <w:bookmarkEnd w:id="55"/>
      <w:bookmarkEnd w:id="56"/>
      <w:r>
        <w:rPr>
          <w:rFonts w:hint="eastAsia" w:ascii="楷体" w:hAnsi="楷体" w:eastAsia="楷体" w:cs="Times New Roman"/>
          <w:b/>
          <w:kern w:val="2"/>
          <w:sz w:val="32"/>
          <w:szCs w:val="32"/>
        </w:rPr>
        <w:t>情况</w:t>
      </w:r>
      <w:bookmarkEnd w:id="57"/>
      <w:bookmarkEnd w:id="58"/>
    </w:p>
    <w:p>
      <w:pPr>
        <w:widowControl w:val="0"/>
        <w:ind w:firstLine="642" w:firstLineChars="200"/>
        <w:jc w:val="both"/>
        <w:rPr>
          <w:rFonts w:hint="eastAsia" w:ascii="仿宋" w:hAnsi="仿宋" w:eastAsia="仿宋" w:cs="仿宋"/>
          <w:b/>
          <w:bCs/>
          <w:color w:val="auto"/>
          <w:kern w:val="2"/>
          <w:sz w:val="32"/>
          <w:szCs w:val="32"/>
        </w:rPr>
      </w:pPr>
      <w:bookmarkStart w:id="59" w:name="OLE_LINK51"/>
      <w:r>
        <w:rPr>
          <w:rFonts w:hint="eastAsia" w:ascii="仿宋" w:hAnsi="仿宋" w:eastAsia="仿宋" w:cs="仿宋"/>
          <w:b/>
          <w:bCs/>
          <w:color w:val="auto"/>
          <w:kern w:val="2"/>
          <w:sz w:val="32"/>
          <w:szCs w:val="32"/>
        </w:rPr>
        <w:t>1.人均资产占有情况</w:t>
      </w:r>
    </w:p>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单位</w:t>
      </w:r>
      <w:r>
        <w:rPr>
          <w:rFonts w:ascii="仿宋_GB2312" w:hAnsi="仿宋_GB2312" w:eastAsia="仿宋_GB2312" w:cs="仿宋_GB2312"/>
          <w:kern w:val="2"/>
          <w:sz w:val="32"/>
          <w:szCs w:val="32"/>
        </w:rPr>
        <w:t>办公家具</w:t>
      </w:r>
      <w:r>
        <w:rPr>
          <w:rFonts w:hint="eastAsia" w:ascii="仿宋_GB2312" w:hAnsi="仿宋_GB2312" w:eastAsia="仿宋_GB2312" w:cs="仿宋_GB2312"/>
          <w:kern w:val="2"/>
          <w:sz w:val="32"/>
          <w:szCs w:val="32"/>
        </w:rPr>
        <w:t>、办公设备人均</w:t>
      </w:r>
      <w:r>
        <w:rPr>
          <w:rFonts w:ascii="仿宋_GB2312" w:hAnsi="仿宋_GB2312" w:eastAsia="仿宋_GB2312" w:cs="仿宋_GB2312"/>
          <w:kern w:val="2"/>
          <w:sz w:val="32"/>
          <w:szCs w:val="32"/>
        </w:rPr>
        <w:t>占有率</w:t>
      </w:r>
      <w:r>
        <w:rPr>
          <w:rFonts w:hint="eastAsia" w:ascii="仿宋_GB2312" w:hAnsi="仿宋_GB2312" w:eastAsia="仿宋_GB2312" w:cs="仿宋_GB2312"/>
          <w:kern w:val="2"/>
          <w:sz w:val="32"/>
          <w:szCs w:val="32"/>
        </w:rPr>
        <w:t>控制相对较好，除计算机类和文件柜外，均低于市级平均水平。</w:t>
      </w:r>
      <w:bookmarkEnd w:id="59"/>
      <w:bookmarkStart w:id="60" w:name="_Toc113284859"/>
      <w:bookmarkStart w:id="61" w:name="_Toc52281688"/>
      <w:bookmarkStart w:id="62" w:name="_Toc81238551"/>
      <w:bookmarkStart w:id="63" w:name="_Toc113285002"/>
      <w:bookmarkStart w:id="64" w:name="_Toc81238798"/>
      <w:bookmarkStart w:id="65" w:name="OLE_LINK17"/>
    </w:p>
    <w:p>
      <w:pPr>
        <w:widowControl w:val="0"/>
        <w:ind w:firstLine="642" w:firstLineChars="200"/>
        <w:jc w:val="both"/>
        <w:rPr>
          <w:rFonts w:hint="eastAsia" w:ascii="仿宋" w:hAnsi="仿宋" w:eastAsia="仿宋" w:cs="仿宋"/>
          <w:b/>
          <w:bCs/>
          <w:color w:val="auto"/>
          <w:kern w:val="2"/>
          <w:sz w:val="32"/>
          <w:szCs w:val="32"/>
        </w:rPr>
      </w:pPr>
      <w:r>
        <w:rPr>
          <w:rFonts w:hint="eastAsia" w:ascii="仿宋" w:hAnsi="仿宋" w:eastAsia="仿宋" w:cs="仿宋"/>
          <w:b/>
          <w:bCs/>
          <w:color w:val="auto"/>
          <w:kern w:val="2"/>
          <w:sz w:val="32"/>
          <w:szCs w:val="32"/>
        </w:rPr>
        <w:t>2.</w:t>
      </w:r>
      <w:bookmarkStart w:id="66" w:name="OLE_LINK75"/>
      <w:r>
        <w:rPr>
          <w:rFonts w:hint="eastAsia" w:ascii="仿宋" w:hAnsi="仿宋" w:eastAsia="仿宋" w:cs="仿宋"/>
          <w:b/>
          <w:bCs/>
          <w:color w:val="auto"/>
          <w:kern w:val="2"/>
          <w:sz w:val="32"/>
          <w:szCs w:val="32"/>
        </w:rPr>
        <w:t>资产调剂利用情况</w:t>
      </w:r>
      <w:bookmarkEnd w:id="66"/>
    </w:p>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bookmarkStart w:id="67" w:name="OLE_LINK120"/>
      <w:bookmarkStart w:id="68" w:name="OLE_LINK119"/>
      <w:r>
        <w:rPr>
          <w:rFonts w:ascii="仿宋_GB2312" w:hAnsi="仿宋_GB2312" w:eastAsia="仿宋_GB2312" w:cs="仿宋_GB2312"/>
          <w:kern w:val="2"/>
          <w:sz w:val="32"/>
          <w:szCs w:val="32"/>
        </w:rPr>
        <w:t>市国资委</w:t>
      </w:r>
      <w:r>
        <w:rPr>
          <w:rFonts w:hint="eastAsia" w:ascii="仿宋_GB2312" w:hAnsi="仿宋_GB2312" w:eastAsia="仿宋_GB2312" w:cs="仿宋_GB2312"/>
          <w:kern w:val="2"/>
          <w:sz w:val="32"/>
          <w:szCs w:val="32"/>
        </w:rPr>
        <w:t>2</w:t>
      </w:r>
      <w:r>
        <w:rPr>
          <w:rFonts w:ascii="仿宋_GB2312" w:hAnsi="仿宋_GB2312" w:eastAsia="仿宋_GB2312" w:cs="仿宋_GB2312"/>
          <w:kern w:val="2"/>
          <w:sz w:val="32"/>
          <w:szCs w:val="32"/>
        </w:rPr>
        <w:t>021</w:t>
      </w:r>
      <w:r>
        <w:rPr>
          <w:rFonts w:hint="eastAsia" w:ascii="仿宋_GB2312" w:hAnsi="仿宋_GB2312" w:eastAsia="仿宋_GB2312" w:cs="仿宋_GB2312"/>
          <w:kern w:val="2"/>
          <w:sz w:val="32"/>
          <w:szCs w:val="32"/>
        </w:rPr>
        <w:t>年度无可对外调剂闲置资产。</w:t>
      </w:r>
      <w:bookmarkEnd w:id="67"/>
      <w:bookmarkEnd w:id="68"/>
      <w:r>
        <w:rPr>
          <w:rFonts w:hint="eastAsia" w:ascii="仿宋_GB2312" w:hAnsi="仿宋_GB2312" w:eastAsia="仿宋_GB2312" w:cs="仿宋_GB2312"/>
          <w:kern w:val="2"/>
          <w:sz w:val="32"/>
          <w:szCs w:val="32"/>
        </w:rPr>
        <w:t>单位合理利用仍有使用价值的资产，降低资产配置规模，减轻财政负担。</w:t>
      </w:r>
    </w:p>
    <w:p>
      <w:pPr>
        <w:widowControl w:val="0"/>
        <w:ind w:firstLine="642" w:firstLineChars="200"/>
        <w:jc w:val="both"/>
        <w:rPr>
          <w:rFonts w:hint="eastAsia" w:ascii="仿宋" w:hAnsi="仿宋" w:eastAsia="仿宋" w:cs="仿宋"/>
          <w:b/>
          <w:bCs/>
          <w:color w:val="auto"/>
          <w:kern w:val="2"/>
          <w:sz w:val="32"/>
          <w:szCs w:val="32"/>
        </w:rPr>
      </w:pPr>
      <w:r>
        <w:rPr>
          <w:rFonts w:hint="eastAsia" w:ascii="仿宋" w:hAnsi="仿宋" w:eastAsia="仿宋" w:cs="仿宋"/>
          <w:b/>
          <w:bCs/>
          <w:color w:val="auto"/>
          <w:kern w:val="2"/>
          <w:sz w:val="32"/>
          <w:szCs w:val="32"/>
        </w:rPr>
        <w:t>3.费用节约情况</w:t>
      </w:r>
    </w:p>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bookmarkStart w:id="69" w:name="OLE_LINK82"/>
      <w:r>
        <w:rPr>
          <w:rFonts w:hint="eastAsia" w:ascii="仿宋_GB2312" w:hAnsi="仿宋_GB2312" w:eastAsia="仿宋_GB2312" w:cs="仿宋_GB2312"/>
          <w:kern w:val="2"/>
          <w:sz w:val="32"/>
          <w:szCs w:val="32"/>
        </w:rPr>
        <w:t>市国资委2</w:t>
      </w:r>
      <w:r>
        <w:rPr>
          <w:rFonts w:ascii="仿宋_GB2312" w:hAnsi="仿宋_GB2312" w:eastAsia="仿宋_GB2312" w:cs="仿宋_GB2312"/>
          <w:kern w:val="2"/>
          <w:sz w:val="32"/>
          <w:szCs w:val="32"/>
        </w:rPr>
        <w:t>021</w:t>
      </w:r>
      <w:r>
        <w:rPr>
          <w:rFonts w:hint="eastAsia" w:ascii="仿宋_GB2312" w:hAnsi="仿宋_GB2312" w:eastAsia="仿宋_GB2312" w:cs="仿宋_GB2312"/>
          <w:kern w:val="2"/>
          <w:sz w:val="32"/>
          <w:szCs w:val="32"/>
        </w:rPr>
        <w:t>年度固定资产明细账显示单位未配置</w:t>
      </w:r>
      <w:r>
        <w:rPr>
          <w:rFonts w:ascii="仿宋_GB2312" w:hAnsi="仿宋_GB2312" w:eastAsia="仿宋_GB2312" w:cs="仿宋_GB2312"/>
          <w:kern w:val="2"/>
          <w:sz w:val="32"/>
          <w:szCs w:val="32"/>
        </w:rPr>
        <w:t>打印机、传真机、复印机、书柜、文件柜</w:t>
      </w:r>
      <w:r>
        <w:rPr>
          <w:rFonts w:hint="eastAsia" w:ascii="仿宋_GB2312" w:hAnsi="仿宋_GB2312" w:eastAsia="仿宋_GB2312" w:cs="仿宋_GB2312"/>
          <w:kern w:val="2"/>
          <w:sz w:val="32"/>
          <w:szCs w:val="32"/>
        </w:rPr>
        <w:t>5类资产</w:t>
      </w:r>
      <w:bookmarkEnd w:id="69"/>
      <w:r>
        <w:rPr>
          <w:rFonts w:hint="eastAsia" w:ascii="仿宋_GB2312" w:hAnsi="仿宋_GB2312" w:eastAsia="仿宋_GB2312" w:cs="仿宋_GB2312"/>
          <w:kern w:val="2"/>
          <w:sz w:val="32"/>
          <w:szCs w:val="32"/>
        </w:rPr>
        <w:t>。</w:t>
      </w:r>
      <w:bookmarkStart w:id="70" w:name="OLE_LINK80"/>
      <w:r>
        <w:rPr>
          <w:rFonts w:hint="eastAsia" w:ascii="仿宋_GB2312" w:hAnsi="仿宋_GB2312" w:eastAsia="仿宋_GB2312" w:cs="仿宋_GB2312"/>
          <w:kern w:val="2"/>
          <w:sz w:val="32"/>
          <w:szCs w:val="32"/>
        </w:rPr>
        <w:t>费用节约情况良好。</w:t>
      </w:r>
    </w:p>
    <w:p>
      <w:pPr>
        <w:widowControl w:val="0"/>
        <w:adjustRightInd w:val="0"/>
        <w:snapToGrid w:val="0"/>
        <w:spacing w:line="560" w:lineRule="exact"/>
        <w:ind w:firstLine="640" w:firstLineChars="200"/>
        <w:outlineLvl w:val="0"/>
        <w:rPr>
          <w:rFonts w:ascii="黑体" w:hAnsi="黑体" w:eastAsia="黑体" w:cs="黑体"/>
          <w:kern w:val="2"/>
          <w:sz w:val="32"/>
          <w:szCs w:val="32"/>
        </w:rPr>
      </w:pPr>
      <w:bookmarkStart w:id="71" w:name="_Toc114120474"/>
      <w:bookmarkStart w:id="72" w:name="_Toc7574"/>
      <w:r>
        <w:rPr>
          <w:rFonts w:hint="eastAsia" w:ascii="黑体" w:hAnsi="黑体" w:eastAsia="黑体" w:cs="黑体"/>
          <w:kern w:val="2"/>
          <w:sz w:val="32"/>
          <w:szCs w:val="32"/>
        </w:rPr>
        <w:t>三、</w:t>
      </w:r>
      <w:bookmarkEnd w:id="60"/>
      <w:bookmarkEnd w:id="61"/>
      <w:bookmarkEnd w:id="62"/>
      <w:bookmarkEnd w:id="63"/>
      <w:bookmarkEnd w:id="64"/>
      <w:r>
        <w:rPr>
          <w:rFonts w:hint="eastAsia" w:ascii="黑体" w:hAnsi="黑体" w:eastAsia="黑体" w:cs="黑体"/>
          <w:kern w:val="2"/>
          <w:sz w:val="32"/>
          <w:szCs w:val="32"/>
        </w:rPr>
        <w:t>存在问题</w:t>
      </w:r>
      <w:bookmarkEnd w:id="71"/>
      <w:bookmarkEnd w:id="72"/>
    </w:p>
    <w:bookmarkEnd w:id="70"/>
    <w:p>
      <w:pPr>
        <w:widowControl w:val="0"/>
        <w:spacing w:line="360" w:lineRule="auto"/>
        <w:ind w:firstLine="645"/>
        <w:jc w:val="both"/>
        <w:rPr>
          <w:rFonts w:hint="eastAsia" w:ascii="楷体" w:hAnsi="楷体" w:eastAsia="楷体" w:cs="Times New Roman"/>
          <w:b/>
          <w:kern w:val="2"/>
          <w:sz w:val="32"/>
          <w:szCs w:val="32"/>
        </w:rPr>
      </w:pPr>
      <w:bookmarkStart w:id="73" w:name="OLE_LINK68"/>
      <w:bookmarkStart w:id="74" w:name="OLE_LINK67"/>
      <w:bookmarkStart w:id="75" w:name="_Toc114120475"/>
      <w:bookmarkStart w:id="76" w:name="_Toc3604"/>
      <w:bookmarkStart w:id="77" w:name="OLE_LINK20"/>
      <w:bookmarkStart w:id="78" w:name="_Toc81238552"/>
      <w:bookmarkStart w:id="79" w:name="_Toc81238799"/>
      <w:bookmarkStart w:id="80" w:name="OLE_LINK16"/>
      <w:bookmarkStart w:id="81" w:name="OLE_LINK19"/>
      <w:r>
        <w:rPr>
          <w:rFonts w:hint="eastAsia" w:ascii="楷体" w:hAnsi="楷体" w:eastAsia="楷体" w:cs="Times New Roman"/>
          <w:b/>
          <w:kern w:val="2"/>
          <w:sz w:val="32"/>
          <w:szCs w:val="32"/>
        </w:rPr>
        <w:t>（一）</w:t>
      </w:r>
      <w:bookmarkStart w:id="82" w:name="OLE_LINK66"/>
      <w:bookmarkStart w:id="83" w:name="OLE_LINK65"/>
      <w:r>
        <w:rPr>
          <w:rFonts w:hint="eastAsia" w:ascii="楷体" w:hAnsi="楷体" w:eastAsia="楷体" w:cs="Times New Roman"/>
          <w:b/>
          <w:kern w:val="2"/>
          <w:sz w:val="32"/>
          <w:szCs w:val="32"/>
        </w:rPr>
        <w:t>部分资产人均占有率偏高</w:t>
      </w:r>
      <w:bookmarkEnd w:id="73"/>
      <w:bookmarkEnd w:id="74"/>
      <w:bookmarkEnd w:id="82"/>
      <w:bookmarkEnd w:id="83"/>
      <w:r>
        <w:rPr>
          <w:rFonts w:hint="eastAsia" w:ascii="楷体" w:hAnsi="楷体" w:eastAsia="楷体" w:cs="Times New Roman"/>
          <w:b/>
          <w:kern w:val="2"/>
          <w:sz w:val="32"/>
          <w:szCs w:val="32"/>
        </w:rPr>
        <w:t>或配置超标</w:t>
      </w:r>
      <w:bookmarkEnd w:id="75"/>
      <w:bookmarkEnd w:id="76"/>
    </w:p>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bookmarkStart w:id="84" w:name="OLE_LINK21"/>
      <w:bookmarkStart w:id="85" w:name="OLE_LINK22"/>
      <w:r>
        <w:rPr>
          <w:rFonts w:hint="eastAsia" w:ascii="仿宋_GB2312" w:hAnsi="仿宋_GB2312" w:eastAsia="仿宋_GB2312" w:cs="仿宋_GB2312"/>
          <w:kern w:val="2"/>
          <w:sz w:val="32"/>
          <w:szCs w:val="32"/>
        </w:rPr>
        <w:t>单位</w:t>
      </w:r>
      <w:r>
        <w:rPr>
          <w:rFonts w:ascii="仿宋_GB2312" w:hAnsi="仿宋_GB2312" w:eastAsia="仿宋_GB2312" w:cs="仿宋_GB2312"/>
          <w:kern w:val="2"/>
          <w:sz w:val="32"/>
          <w:szCs w:val="32"/>
        </w:rPr>
        <w:t>在文件柜、</w:t>
      </w:r>
      <w:bookmarkStart w:id="86" w:name="OLE_LINK25"/>
      <w:r>
        <w:rPr>
          <w:rFonts w:hint="eastAsia" w:ascii="仿宋_GB2312" w:hAnsi="仿宋_GB2312" w:eastAsia="仿宋_GB2312" w:cs="仿宋_GB2312"/>
          <w:kern w:val="2"/>
          <w:sz w:val="32"/>
          <w:szCs w:val="32"/>
        </w:rPr>
        <w:t>便</w:t>
      </w:r>
      <w:r>
        <w:rPr>
          <w:rFonts w:ascii="仿宋_GB2312" w:hAnsi="仿宋_GB2312" w:eastAsia="仿宋_GB2312" w:cs="仿宋_GB2312"/>
          <w:kern w:val="2"/>
          <w:sz w:val="32"/>
          <w:szCs w:val="32"/>
        </w:rPr>
        <w:t>携式计算机</w:t>
      </w:r>
      <w:bookmarkEnd w:id="86"/>
      <w:r>
        <w:rPr>
          <w:rFonts w:hint="eastAsia" w:ascii="仿宋_GB2312" w:hAnsi="仿宋_GB2312" w:eastAsia="仿宋_GB2312" w:cs="仿宋_GB2312"/>
          <w:kern w:val="2"/>
          <w:sz w:val="32"/>
          <w:szCs w:val="32"/>
        </w:rPr>
        <w:t>两</w:t>
      </w:r>
      <w:r>
        <w:rPr>
          <w:rFonts w:ascii="仿宋_GB2312" w:hAnsi="仿宋_GB2312" w:eastAsia="仿宋_GB2312" w:cs="仿宋_GB2312"/>
          <w:kern w:val="2"/>
          <w:sz w:val="32"/>
          <w:szCs w:val="32"/>
        </w:rPr>
        <w:t>类资产的人均占有率均高于全市人均水平。</w:t>
      </w:r>
      <w:bookmarkEnd w:id="65"/>
      <w:bookmarkEnd w:id="77"/>
      <w:bookmarkEnd w:id="78"/>
      <w:bookmarkEnd w:id="79"/>
      <w:bookmarkEnd w:id="80"/>
      <w:bookmarkEnd w:id="81"/>
      <w:bookmarkEnd w:id="84"/>
      <w:bookmarkEnd w:id="85"/>
      <w:bookmarkStart w:id="87" w:name="_Toc113284861"/>
      <w:bookmarkStart w:id="88" w:name="_Toc113285004"/>
      <w:r>
        <w:rPr>
          <w:rFonts w:hint="eastAsia" w:ascii="仿宋_GB2312" w:hAnsi="仿宋_GB2312" w:eastAsia="仿宋_GB2312" w:cs="仿宋_GB2312"/>
          <w:kern w:val="2"/>
          <w:sz w:val="32"/>
          <w:szCs w:val="32"/>
        </w:rPr>
        <w:t>单位</w:t>
      </w:r>
      <w:r>
        <w:rPr>
          <w:rFonts w:ascii="仿宋_GB2312" w:hAnsi="仿宋_GB2312" w:eastAsia="仿宋_GB2312" w:cs="仿宋_GB2312"/>
          <w:kern w:val="2"/>
          <w:sz w:val="32"/>
          <w:szCs w:val="32"/>
        </w:rPr>
        <w:t>2021年度</w:t>
      </w:r>
      <w:bookmarkStart w:id="89" w:name="OLE_LINK91"/>
      <w:r>
        <w:rPr>
          <w:rFonts w:ascii="仿宋_GB2312" w:hAnsi="仿宋_GB2312" w:eastAsia="仿宋_GB2312" w:cs="仿宋_GB2312"/>
          <w:kern w:val="2"/>
          <w:sz w:val="32"/>
          <w:szCs w:val="32"/>
        </w:rPr>
        <w:t>采购</w:t>
      </w:r>
      <w:bookmarkStart w:id="90" w:name="OLE_LINK92"/>
      <w:r>
        <w:rPr>
          <w:rFonts w:ascii="仿宋_GB2312" w:hAnsi="仿宋_GB2312" w:eastAsia="仿宋_GB2312" w:cs="仿宋_GB2312"/>
          <w:kern w:val="2"/>
          <w:sz w:val="32"/>
          <w:szCs w:val="32"/>
        </w:rPr>
        <w:t>办公桌</w:t>
      </w:r>
      <w:bookmarkEnd w:id="89"/>
      <w:bookmarkEnd w:id="90"/>
      <w:r>
        <w:rPr>
          <w:rFonts w:hint="eastAsia" w:ascii="仿宋_GB2312" w:hAnsi="仿宋_GB2312" w:eastAsia="仿宋_GB2312" w:cs="仿宋_GB2312"/>
          <w:kern w:val="2"/>
          <w:sz w:val="32"/>
          <w:szCs w:val="32"/>
        </w:rPr>
        <w:t>1张、办公椅1把略微超过资产配置标准。</w:t>
      </w:r>
    </w:p>
    <w:bookmarkEnd w:id="87"/>
    <w:bookmarkEnd w:id="88"/>
    <w:p>
      <w:pPr>
        <w:widowControl w:val="0"/>
        <w:spacing w:line="360" w:lineRule="auto"/>
        <w:ind w:firstLine="645"/>
        <w:jc w:val="both"/>
        <w:rPr>
          <w:rFonts w:hint="eastAsia" w:ascii="楷体" w:hAnsi="楷体" w:eastAsia="楷体" w:cs="Times New Roman"/>
          <w:b/>
          <w:kern w:val="2"/>
          <w:sz w:val="32"/>
          <w:szCs w:val="32"/>
        </w:rPr>
      </w:pPr>
      <w:bookmarkStart w:id="91" w:name="_Toc22157"/>
      <w:bookmarkStart w:id="92" w:name="_Toc113285006"/>
      <w:bookmarkStart w:id="93" w:name="_Toc113284863"/>
      <w:bookmarkStart w:id="94" w:name="_Toc114120476"/>
      <w:bookmarkStart w:id="95" w:name="OLE_LINK28"/>
      <w:bookmarkStart w:id="96" w:name="_Toc113285005"/>
      <w:bookmarkStart w:id="97" w:name="_Toc113284862"/>
      <w:r>
        <w:rPr>
          <w:rFonts w:hint="eastAsia" w:ascii="楷体" w:hAnsi="楷体" w:eastAsia="楷体" w:cs="Times New Roman"/>
          <w:b/>
          <w:kern w:val="2"/>
          <w:sz w:val="32"/>
          <w:szCs w:val="32"/>
        </w:rPr>
        <w:t>（二）资产清查盘点工作不规范</w:t>
      </w:r>
      <w:bookmarkEnd w:id="91"/>
      <w:bookmarkEnd w:id="92"/>
      <w:bookmarkEnd w:id="93"/>
      <w:bookmarkEnd w:id="94"/>
    </w:p>
    <w:bookmarkEnd w:id="95"/>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市国资委在2021年度资产清查盘点工作中，未编制资产盘点表及资产清查盘点报告。</w:t>
      </w:r>
    </w:p>
    <w:p>
      <w:pPr>
        <w:widowControl w:val="0"/>
        <w:spacing w:line="360" w:lineRule="auto"/>
        <w:ind w:firstLine="645"/>
        <w:jc w:val="both"/>
        <w:rPr>
          <w:rFonts w:hint="eastAsia" w:ascii="楷体" w:hAnsi="楷体" w:eastAsia="楷体" w:cs="Times New Roman"/>
          <w:b/>
          <w:kern w:val="2"/>
          <w:sz w:val="32"/>
          <w:szCs w:val="32"/>
          <w:lang w:eastAsia="zh-CN"/>
        </w:rPr>
      </w:pPr>
      <w:bookmarkStart w:id="98" w:name="_Toc16506"/>
      <w:bookmarkStart w:id="99" w:name="_Toc114120477"/>
      <w:r>
        <w:rPr>
          <w:rFonts w:hint="eastAsia" w:ascii="楷体" w:hAnsi="楷体" w:eastAsia="楷体" w:cs="Times New Roman"/>
          <w:b/>
          <w:kern w:val="2"/>
          <w:sz w:val="32"/>
          <w:szCs w:val="32"/>
        </w:rPr>
        <w:t>（三）资产管理台账登记不规范</w:t>
      </w:r>
      <w:bookmarkEnd w:id="96"/>
      <w:bookmarkEnd w:id="97"/>
      <w:bookmarkEnd w:id="98"/>
      <w:bookmarkEnd w:id="99"/>
    </w:p>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r>
        <w:rPr>
          <w:rFonts w:ascii="仿宋_GB2312" w:hAnsi="仿宋_GB2312" w:eastAsia="仿宋_GB2312" w:cs="仿宋_GB2312"/>
          <w:kern w:val="2"/>
          <w:sz w:val="32"/>
          <w:szCs w:val="32"/>
        </w:rPr>
        <w:t>资产</w:t>
      </w:r>
      <w:r>
        <w:rPr>
          <w:rFonts w:hint="eastAsia" w:ascii="仿宋_GB2312" w:hAnsi="仿宋_GB2312" w:eastAsia="仿宋_GB2312" w:cs="仿宋_GB2312"/>
          <w:kern w:val="2"/>
          <w:sz w:val="32"/>
          <w:szCs w:val="32"/>
        </w:rPr>
        <w:t>管理</w:t>
      </w:r>
      <w:r>
        <w:rPr>
          <w:rFonts w:ascii="仿宋_GB2312" w:hAnsi="仿宋_GB2312" w:eastAsia="仿宋_GB2312" w:cs="仿宋_GB2312"/>
          <w:kern w:val="2"/>
          <w:sz w:val="32"/>
          <w:szCs w:val="32"/>
        </w:rPr>
        <w:t>台账中</w:t>
      </w:r>
      <w:r>
        <w:rPr>
          <w:rFonts w:hint="eastAsia" w:ascii="仿宋_GB2312" w:hAnsi="仿宋_GB2312" w:eastAsia="仿宋_GB2312" w:cs="仿宋_GB2312"/>
          <w:kern w:val="2"/>
          <w:sz w:val="32"/>
          <w:szCs w:val="32"/>
        </w:rPr>
        <w:t>部分</w:t>
      </w:r>
      <w:r>
        <w:rPr>
          <w:rFonts w:ascii="仿宋_GB2312" w:hAnsi="仿宋_GB2312" w:eastAsia="仿宋_GB2312" w:cs="仿宋_GB2312"/>
          <w:kern w:val="2"/>
          <w:sz w:val="32"/>
          <w:szCs w:val="32"/>
        </w:rPr>
        <w:t>办公家具未列示具体明细，无法确认家具类型及数量；</w:t>
      </w:r>
      <w:r>
        <w:rPr>
          <w:rFonts w:hint="eastAsia" w:ascii="仿宋_GB2312" w:hAnsi="仿宋_GB2312" w:eastAsia="仿宋_GB2312" w:cs="仿宋_GB2312"/>
          <w:kern w:val="2"/>
          <w:sz w:val="32"/>
          <w:szCs w:val="32"/>
        </w:rPr>
        <w:t>部分资产分类有误或信息更新不及时。</w:t>
      </w:r>
    </w:p>
    <w:p>
      <w:pPr>
        <w:widowControl w:val="0"/>
        <w:adjustRightInd w:val="0"/>
        <w:snapToGrid w:val="0"/>
        <w:spacing w:line="560" w:lineRule="exact"/>
        <w:ind w:firstLine="640" w:firstLineChars="200"/>
        <w:outlineLvl w:val="0"/>
        <w:rPr>
          <w:rFonts w:ascii="黑体" w:hAnsi="黑体" w:eastAsia="黑体" w:cs="黑体"/>
          <w:kern w:val="2"/>
          <w:sz w:val="32"/>
          <w:szCs w:val="32"/>
        </w:rPr>
      </w:pPr>
      <w:bookmarkStart w:id="100" w:name="_Toc113284864"/>
      <w:bookmarkStart w:id="101" w:name="_Toc113285007"/>
      <w:bookmarkStart w:id="102" w:name="_Toc17688"/>
      <w:bookmarkStart w:id="103" w:name="_Toc114120478"/>
      <w:r>
        <w:rPr>
          <w:rFonts w:hint="eastAsia" w:ascii="黑体" w:hAnsi="黑体" w:eastAsia="黑体" w:cs="黑体"/>
          <w:kern w:val="2"/>
          <w:sz w:val="32"/>
          <w:szCs w:val="32"/>
        </w:rPr>
        <w:t>四、评价建议</w:t>
      </w:r>
      <w:bookmarkEnd w:id="100"/>
      <w:bookmarkEnd w:id="101"/>
      <w:bookmarkEnd w:id="102"/>
      <w:bookmarkEnd w:id="103"/>
    </w:p>
    <w:p>
      <w:pPr>
        <w:widowControl w:val="0"/>
        <w:spacing w:line="360" w:lineRule="auto"/>
        <w:ind w:firstLine="645"/>
        <w:jc w:val="both"/>
        <w:rPr>
          <w:rFonts w:hint="eastAsia" w:ascii="楷体" w:hAnsi="楷体" w:eastAsia="楷体" w:cs="Times New Roman"/>
          <w:b/>
          <w:kern w:val="2"/>
          <w:sz w:val="32"/>
          <w:szCs w:val="32"/>
        </w:rPr>
      </w:pPr>
      <w:bookmarkStart w:id="104" w:name="_Toc114120479"/>
      <w:bookmarkStart w:id="105" w:name="_Toc2746"/>
      <w:bookmarkStart w:id="106" w:name="OLE_LINK27"/>
      <w:bookmarkStart w:id="107" w:name="_Toc113284865"/>
      <w:bookmarkStart w:id="108" w:name="_Toc113285008"/>
      <w:r>
        <w:rPr>
          <w:rFonts w:hint="eastAsia" w:ascii="楷体" w:hAnsi="楷体" w:eastAsia="楷体" w:cs="Times New Roman"/>
          <w:b/>
          <w:kern w:val="2"/>
          <w:sz w:val="32"/>
          <w:szCs w:val="32"/>
        </w:rPr>
        <w:t>（一）</w:t>
      </w:r>
      <w:bookmarkEnd w:id="104"/>
      <w:bookmarkStart w:id="109" w:name="OLE_LINK26"/>
      <w:bookmarkStart w:id="110" w:name="OLE_LINK24"/>
      <w:r>
        <w:rPr>
          <w:rFonts w:hint="eastAsia" w:ascii="楷体" w:hAnsi="楷体" w:eastAsia="楷体" w:cs="Times New Roman"/>
          <w:b/>
          <w:kern w:val="2"/>
          <w:sz w:val="32"/>
          <w:szCs w:val="32"/>
        </w:rPr>
        <w:t>提升资产盘活利用效率</w:t>
      </w:r>
      <w:bookmarkEnd w:id="109"/>
      <w:r>
        <w:rPr>
          <w:rFonts w:hint="eastAsia" w:ascii="楷体" w:hAnsi="楷体" w:eastAsia="楷体" w:cs="Times New Roman"/>
          <w:b/>
          <w:kern w:val="2"/>
          <w:sz w:val="32"/>
          <w:szCs w:val="32"/>
        </w:rPr>
        <w:t>，规范和加强资产配置管理</w:t>
      </w:r>
      <w:bookmarkEnd w:id="105"/>
      <w:bookmarkEnd w:id="110"/>
    </w:p>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建议市国资委编制资产配置计划时充分考虑资产配置的必要性、合理性和经济性。就现有超额配置以及闲置的资产，通过线上公物仓在部门间共享共用和调剂。</w:t>
      </w:r>
    </w:p>
    <w:bookmarkEnd w:id="106"/>
    <w:bookmarkEnd w:id="107"/>
    <w:bookmarkEnd w:id="108"/>
    <w:p>
      <w:pPr>
        <w:widowControl w:val="0"/>
        <w:spacing w:line="360" w:lineRule="auto"/>
        <w:ind w:firstLine="645"/>
        <w:jc w:val="both"/>
        <w:rPr>
          <w:rFonts w:hint="eastAsia" w:ascii="楷体" w:hAnsi="楷体" w:eastAsia="楷体" w:cs="Times New Roman"/>
          <w:b/>
          <w:kern w:val="2"/>
          <w:sz w:val="32"/>
          <w:szCs w:val="32"/>
        </w:rPr>
      </w:pPr>
      <w:bookmarkStart w:id="111" w:name="_Toc12115"/>
      <w:bookmarkStart w:id="112" w:name="_Toc114120480"/>
      <w:bookmarkStart w:id="113" w:name="_Toc113284867"/>
      <w:bookmarkStart w:id="114" w:name="_Toc113285010"/>
      <w:r>
        <w:rPr>
          <w:rFonts w:hint="eastAsia" w:ascii="楷体" w:hAnsi="楷体" w:eastAsia="楷体" w:cs="Times New Roman"/>
          <w:b/>
          <w:kern w:val="2"/>
          <w:sz w:val="32"/>
          <w:szCs w:val="32"/>
        </w:rPr>
        <w:t>（二）按规定及时开展年度资产清查盘点工作</w:t>
      </w:r>
      <w:bookmarkEnd w:id="111"/>
      <w:bookmarkEnd w:id="112"/>
    </w:p>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市国资委应及时开展年度资产清查盘点工作，按资产管理相关办法的规定程序组织实施，盘点人员对盘点结果进行签字确认，根据盘点结果形成盘点报告，盘点报告按规定程序进行审核审批，盘盈盘亏情况根据审批意见进行账务处理。切实做到账账相符、账实相符，促使资产管理工作更加规范和高效。</w:t>
      </w:r>
    </w:p>
    <w:p>
      <w:pPr>
        <w:widowControl w:val="0"/>
        <w:spacing w:line="360" w:lineRule="auto"/>
        <w:ind w:firstLine="645"/>
        <w:jc w:val="both"/>
        <w:rPr>
          <w:rFonts w:hint="eastAsia" w:ascii="楷体" w:hAnsi="楷体" w:eastAsia="楷体" w:cs="Times New Roman"/>
          <w:b/>
          <w:kern w:val="2"/>
          <w:sz w:val="32"/>
          <w:szCs w:val="32"/>
        </w:rPr>
      </w:pPr>
      <w:bookmarkStart w:id="115" w:name="_Toc20797"/>
      <w:bookmarkStart w:id="116" w:name="_Toc114120481"/>
      <w:r>
        <w:rPr>
          <w:rFonts w:hint="eastAsia" w:ascii="楷体" w:hAnsi="楷体" w:eastAsia="楷体" w:cs="Times New Roman"/>
          <w:b/>
          <w:kern w:val="2"/>
          <w:sz w:val="32"/>
          <w:szCs w:val="32"/>
        </w:rPr>
        <w:t>（三）做好资产登记入账和管理工作，确保账账相符、账实相符</w:t>
      </w:r>
      <w:bookmarkEnd w:id="113"/>
      <w:bookmarkEnd w:id="114"/>
      <w:bookmarkEnd w:id="115"/>
      <w:bookmarkEnd w:id="116"/>
    </w:p>
    <w:p>
      <w:pPr>
        <w:widowControl w:val="0"/>
        <w:adjustRightInd w:val="0"/>
        <w:snapToGrid w:val="0"/>
        <w:spacing w:line="56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建议市国资委对财务人员和资产管理人员加强资产管理方面的专题培训，明确资产登记、建卡、贴标、信息维护的工作职责和要求。对于资产管理台账信息不准确、不完整的及时整改，分类有误的资产需及时更正，确保单位资产报表准确、完整。</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等线 Light">
    <w:altName w:val="华文仿宋"/>
    <w:panose1 w:val="02010600030101010101"/>
    <w:charset w:val="86"/>
    <w:family w:val="auto"/>
    <w:pitch w:val="default"/>
    <w:sig w:usb0="00000000" w:usb1="00000000" w:usb2="00000016"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URW Bookman">
    <w:panose1 w:val="00000400000000000000"/>
    <w:charset w:val="00"/>
    <w:family w:val="auto"/>
    <w:pitch w:val="default"/>
    <w:sig w:usb0="00000287" w:usb1="00000800" w:usb2="00000000" w:usb3="00000000" w:csb0="6000009F"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E9F"/>
    <w:rsid w:val="000011B1"/>
    <w:rsid w:val="000045DD"/>
    <w:rsid w:val="00004E79"/>
    <w:rsid w:val="000118DC"/>
    <w:rsid w:val="00014199"/>
    <w:rsid w:val="000148CB"/>
    <w:rsid w:val="00014C5D"/>
    <w:rsid w:val="000155FD"/>
    <w:rsid w:val="0002013E"/>
    <w:rsid w:val="00023198"/>
    <w:rsid w:val="000273C9"/>
    <w:rsid w:val="00027B52"/>
    <w:rsid w:val="00034567"/>
    <w:rsid w:val="000413AC"/>
    <w:rsid w:val="00042ADD"/>
    <w:rsid w:val="000453D8"/>
    <w:rsid w:val="000459BC"/>
    <w:rsid w:val="0004732E"/>
    <w:rsid w:val="000521D2"/>
    <w:rsid w:val="00052BAC"/>
    <w:rsid w:val="00054A48"/>
    <w:rsid w:val="000552D9"/>
    <w:rsid w:val="00055661"/>
    <w:rsid w:val="00055949"/>
    <w:rsid w:val="00056B9F"/>
    <w:rsid w:val="00060D07"/>
    <w:rsid w:val="00066EE0"/>
    <w:rsid w:val="00070349"/>
    <w:rsid w:val="000723E3"/>
    <w:rsid w:val="00077891"/>
    <w:rsid w:val="00083CB7"/>
    <w:rsid w:val="00085E33"/>
    <w:rsid w:val="00090264"/>
    <w:rsid w:val="000A0746"/>
    <w:rsid w:val="000A1B60"/>
    <w:rsid w:val="000A305C"/>
    <w:rsid w:val="000B1A97"/>
    <w:rsid w:val="000B4BB6"/>
    <w:rsid w:val="000B7CAE"/>
    <w:rsid w:val="000C01C6"/>
    <w:rsid w:val="000C360F"/>
    <w:rsid w:val="000C4F6E"/>
    <w:rsid w:val="000C71EB"/>
    <w:rsid w:val="000C790F"/>
    <w:rsid w:val="000D5BB7"/>
    <w:rsid w:val="000D7162"/>
    <w:rsid w:val="000E2BF9"/>
    <w:rsid w:val="000E446D"/>
    <w:rsid w:val="000E4E26"/>
    <w:rsid w:val="0010196A"/>
    <w:rsid w:val="001021F3"/>
    <w:rsid w:val="00102B55"/>
    <w:rsid w:val="00102EB6"/>
    <w:rsid w:val="00104A26"/>
    <w:rsid w:val="001068DF"/>
    <w:rsid w:val="00106D47"/>
    <w:rsid w:val="001167C5"/>
    <w:rsid w:val="00117C34"/>
    <w:rsid w:val="00120DBA"/>
    <w:rsid w:val="00121717"/>
    <w:rsid w:val="00125B01"/>
    <w:rsid w:val="00131D33"/>
    <w:rsid w:val="00132CDF"/>
    <w:rsid w:val="00136F38"/>
    <w:rsid w:val="00142F91"/>
    <w:rsid w:val="001441D8"/>
    <w:rsid w:val="001464FC"/>
    <w:rsid w:val="0014731D"/>
    <w:rsid w:val="001506AE"/>
    <w:rsid w:val="00151AB5"/>
    <w:rsid w:val="00155603"/>
    <w:rsid w:val="00172336"/>
    <w:rsid w:val="00174E47"/>
    <w:rsid w:val="00176499"/>
    <w:rsid w:val="001768A7"/>
    <w:rsid w:val="00176917"/>
    <w:rsid w:val="00177621"/>
    <w:rsid w:val="001778F7"/>
    <w:rsid w:val="001813A2"/>
    <w:rsid w:val="001850B5"/>
    <w:rsid w:val="0018598B"/>
    <w:rsid w:val="00187EF9"/>
    <w:rsid w:val="00192266"/>
    <w:rsid w:val="00192CFE"/>
    <w:rsid w:val="00195A39"/>
    <w:rsid w:val="00197260"/>
    <w:rsid w:val="001A0543"/>
    <w:rsid w:val="001A1079"/>
    <w:rsid w:val="001A41FF"/>
    <w:rsid w:val="001B4B90"/>
    <w:rsid w:val="001B78FC"/>
    <w:rsid w:val="001C10D1"/>
    <w:rsid w:val="001C3981"/>
    <w:rsid w:val="001C4243"/>
    <w:rsid w:val="001C4261"/>
    <w:rsid w:val="001C4F86"/>
    <w:rsid w:val="001C658E"/>
    <w:rsid w:val="001D1605"/>
    <w:rsid w:val="001D1BB6"/>
    <w:rsid w:val="001D7A69"/>
    <w:rsid w:val="001E6919"/>
    <w:rsid w:val="001E73A0"/>
    <w:rsid w:val="001F2186"/>
    <w:rsid w:val="001F4EB8"/>
    <w:rsid w:val="001F6831"/>
    <w:rsid w:val="00201673"/>
    <w:rsid w:val="00201A2D"/>
    <w:rsid w:val="0020271B"/>
    <w:rsid w:val="00203D8A"/>
    <w:rsid w:val="00204EB5"/>
    <w:rsid w:val="002059DC"/>
    <w:rsid w:val="00206050"/>
    <w:rsid w:val="00206DCF"/>
    <w:rsid w:val="00213DA6"/>
    <w:rsid w:val="00215772"/>
    <w:rsid w:val="002157C6"/>
    <w:rsid w:val="00227124"/>
    <w:rsid w:val="00227BB5"/>
    <w:rsid w:val="00231B03"/>
    <w:rsid w:val="00232F3A"/>
    <w:rsid w:val="0023341F"/>
    <w:rsid w:val="00233910"/>
    <w:rsid w:val="0023417F"/>
    <w:rsid w:val="002341DA"/>
    <w:rsid w:val="00237E09"/>
    <w:rsid w:val="00241A89"/>
    <w:rsid w:val="00242E13"/>
    <w:rsid w:val="0024687A"/>
    <w:rsid w:val="002507F2"/>
    <w:rsid w:val="00250A7B"/>
    <w:rsid w:val="00250D92"/>
    <w:rsid w:val="00252E8B"/>
    <w:rsid w:val="00253071"/>
    <w:rsid w:val="002530BA"/>
    <w:rsid w:val="002538E7"/>
    <w:rsid w:val="002547B3"/>
    <w:rsid w:val="0026255B"/>
    <w:rsid w:val="00271324"/>
    <w:rsid w:val="002713C4"/>
    <w:rsid w:val="00272561"/>
    <w:rsid w:val="00273F89"/>
    <w:rsid w:val="0027489E"/>
    <w:rsid w:val="00274FBE"/>
    <w:rsid w:val="00276AD5"/>
    <w:rsid w:val="0027752E"/>
    <w:rsid w:val="00277AD3"/>
    <w:rsid w:val="002823BC"/>
    <w:rsid w:val="0028700F"/>
    <w:rsid w:val="00287C53"/>
    <w:rsid w:val="002903A4"/>
    <w:rsid w:val="00292B63"/>
    <w:rsid w:val="00293D33"/>
    <w:rsid w:val="0029467C"/>
    <w:rsid w:val="002B044D"/>
    <w:rsid w:val="002B3338"/>
    <w:rsid w:val="002B51B3"/>
    <w:rsid w:val="002B7D6E"/>
    <w:rsid w:val="002C0232"/>
    <w:rsid w:val="002C617D"/>
    <w:rsid w:val="002C721A"/>
    <w:rsid w:val="002D2032"/>
    <w:rsid w:val="002D2523"/>
    <w:rsid w:val="002D37FF"/>
    <w:rsid w:val="002D3AC1"/>
    <w:rsid w:val="002D7BA1"/>
    <w:rsid w:val="002F18AD"/>
    <w:rsid w:val="002F19E3"/>
    <w:rsid w:val="002F7CC3"/>
    <w:rsid w:val="003008EF"/>
    <w:rsid w:val="00301A37"/>
    <w:rsid w:val="0030333A"/>
    <w:rsid w:val="00304BDD"/>
    <w:rsid w:val="003053AA"/>
    <w:rsid w:val="00306399"/>
    <w:rsid w:val="00306EEF"/>
    <w:rsid w:val="00310B52"/>
    <w:rsid w:val="00311984"/>
    <w:rsid w:val="00316EEE"/>
    <w:rsid w:val="003246F1"/>
    <w:rsid w:val="00324B5F"/>
    <w:rsid w:val="00327748"/>
    <w:rsid w:val="00327FA8"/>
    <w:rsid w:val="00331F8F"/>
    <w:rsid w:val="003321BE"/>
    <w:rsid w:val="00342BD7"/>
    <w:rsid w:val="00350699"/>
    <w:rsid w:val="00350834"/>
    <w:rsid w:val="00352440"/>
    <w:rsid w:val="003552C1"/>
    <w:rsid w:val="00357D19"/>
    <w:rsid w:val="00362527"/>
    <w:rsid w:val="00371EBE"/>
    <w:rsid w:val="0037204A"/>
    <w:rsid w:val="00374BA0"/>
    <w:rsid w:val="0037564B"/>
    <w:rsid w:val="0037745E"/>
    <w:rsid w:val="00383030"/>
    <w:rsid w:val="003867A6"/>
    <w:rsid w:val="00390E83"/>
    <w:rsid w:val="00392518"/>
    <w:rsid w:val="00395240"/>
    <w:rsid w:val="0039579F"/>
    <w:rsid w:val="003A2683"/>
    <w:rsid w:val="003A5601"/>
    <w:rsid w:val="003A7103"/>
    <w:rsid w:val="003B11C0"/>
    <w:rsid w:val="003B1AB3"/>
    <w:rsid w:val="003B3771"/>
    <w:rsid w:val="003B3B0D"/>
    <w:rsid w:val="003D2FE1"/>
    <w:rsid w:val="003D4A84"/>
    <w:rsid w:val="003D540D"/>
    <w:rsid w:val="003D6909"/>
    <w:rsid w:val="003E54E0"/>
    <w:rsid w:val="003E574A"/>
    <w:rsid w:val="003F13AB"/>
    <w:rsid w:val="003F5866"/>
    <w:rsid w:val="004006C9"/>
    <w:rsid w:val="004048F5"/>
    <w:rsid w:val="00404FC4"/>
    <w:rsid w:val="004051E4"/>
    <w:rsid w:val="00413246"/>
    <w:rsid w:val="0041475F"/>
    <w:rsid w:val="00414909"/>
    <w:rsid w:val="00417581"/>
    <w:rsid w:val="00420EDD"/>
    <w:rsid w:val="00421443"/>
    <w:rsid w:val="004216F4"/>
    <w:rsid w:val="004240F3"/>
    <w:rsid w:val="00432EA2"/>
    <w:rsid w:val="00434374"/>
    <w:rsid w:val="004359C8"/>
    <w:rsid w:val="0044048D"/>
    <w:rsid w:val="00440790"/>
    <w:rsid w:val="0044388B"/>
    <w:rsid w:val="00447D16"/>
    <w:rsid w:val="00450160"/>
    <w:rsid w:val="00454FB7"/>
    <w:rsid w:val="00462220"/>
    <w:rsid w:val="00463085"/>
    <w:rsid w:val="0046397C"/>
    <w:rsid w:val="004668FE"/>
    <w:rsid w:val="00467911"/>
    <w:rsid w:val="0047159E"/>
    <w:rsid w:val="0048084B"/>
    <w:rsid w:val="0048169C"/>
    <w:rsid w:val="004826DD"/>
    <w:rsid w:val="00482FBE"/>
    <w:rsid w:val="004835B9"/>
    <w:rsid w:val="00486A17"/>
    <w:rsid w:val="00493356"/>
    <w:rsid w:val="00493533"/>
    <w:rsid w:val="00496D43"/>
    <w:rsid w:val="00497E8C"/>
    <w:rsid w:val="004A2A6D"/>
    <w:rsid w:val="004A3D6E"/>
    <w:rsid w:val="004A40D9"/>
    <w:rsid w:val="004A5481"/>
    <w:rsid w:val="004B1BC9"/>
    <w:rsid w:val="004B3C42"/>
    <w:rsid w:val="004B40BA"/>
    <w:rsid w:val="004B4D20"/>
    <w:rsid w:val="004B7132"/>
    <w:rsid w:val="004C00C9"/>
    <w:rsid w:val="004C2F41"/>
    <w:rsid w:val="004C4D6E"/>
    <w:rsid w:val="004C5FC7"/>
    <w:rsid w:val="004C60D8"/>
    <w:rsid w:val="004C6547"/>
    <w:rsid w:val="004C65F2"/>
    <w:rsid w:val="004D3493"/>
    <w:rsid w:val="004D6E39"/>
    <w:rsid w:val="004D6EA1"/>
    <w:rsid w:val="004D7522"/>
    <w:rsid w:val="004E1AD8"/>
    <w:rsid w:val="004E5FFE"/>
    <w:rsid w:val="004E61AB"/>
    <w:rsid w:val="004F0640"/>
    <w:rsid w:val="004F37CA"/>
    <w:rsid w:val="004F530A"/>
    <w:rsid w:val="004F578C"/>
    <w:rsid w:val="004F6155"/>
    <w:rsid w:val="005022CA"/>
    <w:rsid w:val="00503BBF"/>
    <w:rsid w:val="00505978"/>
    <w:rsid w:val="00510AE6"/>
    <w:rsid w:val="005213BE"/>
    <w:rsid w:val="00523D16"/>
    <w:rsid w:val="00526342"/>
    <w:rsid w:val="005277CD"/>
    <w:rsid w:val="00531440"/>
    <w:rsid w:val="005359C3"/>
    <w:rsid w:val="00540544"/>
    <w:rsid w:val="00540E17"/>
    <w:rsid w:val="00541B17"/>
    <w:rsid w:val="0054237D"/>
    <w:rsid w:val="00544002"/>
    <w:rsid w:val="005459A8"/>
    <w:rsid w:val="00550042"/>
    <w:rsid w:val="00550236"/>
    <w:rsid w:val="00552F3B"/>
    <w:rsid w:val="005553B8"/>
    <w:rsid w:val="0055659F"/>
    <w:rsid w:val="00564DB3"/>
    <w:rsid w:val="005700C8"/>
    <w:rsid w:val="00571809"/>
    <w:rsid w:val="00572B49"/>
    <w:rsid w:val="00574748"/>
    <w:rsid w:val="005760B9"/>
    <w:rsid w:val="00576F1D"/>
    <w:rsid w:val="0058300D"/>
    <w:rsid w:val="005837BB"/>
    <w:rsid w:val="00585866"/>
    <w:rsid w:val="00585C3F"/>
    <w:rsid w:val="00587716"/>
    <w:rsid w:val="00591454"/>
    <w:rsid w:val="00593B08"/>
    <w:rsid w:val="00594A63"/>
    <w:rsid w:val="00596B52"/>
    <w:rsid w:val="005A15F6"/>
    <w:rsid w:val="005A25E9"/>
    <w:rsid w:val="005A3647"/>
    <w:rsid w:val="005A3FAD"/>
    <w:rsid w:val="005A4DD5"/>
    <w:rsid w:val="005A6118"/>
    <w:rsid w:val="005B0A21"/>
    <w:rsid w:val="005B3DDC"/>
    <w:rsid w:val="005B4025"/>
    <w:rsid w:val="005B6B81"/>
    <w:rsid w:val="005B7BF5"/>
    <w:rsid w:val="005C0B55"/>
    <w:rsid w:val="005C2440"/>
    <w:rsid w:val="005C3D74"/>
    <w:rsid w:val="005D1B70"/>
    <w:rsid w:val="005D48E8"/>
    <w:rsid w:val="005E4836"/>
    <w:rsid w:val="005E63AA"/>
    <w:rsid w:val="005F1610"/>
    <w:rsid w:val="005F3D7B"/>
    <w:rsid w:val="005F49FD"/>
    <w:rsid w:val="0060224B"/>
    <w:rsid w:val="006053F9"/>
    <w:rsid w:val="006075D6"/>
    <w:rsid w:val="00607F18"/>
    <w:rsid w:val="00611732"/>
    <w:rsid w:val="00611F0C"/>
    <w:rsid w:val="006200BF"/>
    <w:rsid w:val="006261DE"/>
    <w:rsid w:val="006306CA"/>
    <w:rsid w:val="00632512"/>
    <w:rsid w:val="00633BFB"/>
    <w:rsid w:val="00634DB6"/>
    <w:rsid w:val="00636B10"/>
    <w:rsid w:val="00642BFF"/>
    <w:rsid w:val="006459F8"/>
    <w:rsid w:val="00656C58"/>
    <w:rsid w:val="00657743"/>
    <w:rsid w:val="00657A82"/>
    <w:rsid w:val="00665E6D"/>
    <w:rsid w:val="00665EE1"/>
    <w:rsid w:val="00672E5B"/>
    <w:rsid w:val="0067690C"/>
    <w:rsid w:val="006803D1"/>
    <w:rsid w:val="006861A7"/>
    <w:rsid w:val="00690E39"/>
    <w:rsid w:val="006963BF"/>
    <w:rsid w:val="006A1E71"/>
    <w:rsid w:val="006A2C88"/>
    <w:rsid w:val="006A5302"/>
    <w:rsid w:val="006A5D27"/>
    <w:rsid w:val="006A7C4B"/>
    <w:rsid w:val="006B5C4A"/>
    <w:rsid w:val="006C0903"/>
    <w:rsid w:val="006C34BA"/>
    <w:rsid w:val="006D2C77"/>
    <w:rsid w:val="006D3F65"/>
    <w:rsid w:val="006D652A"/>
    <w:rsid w:val="006E0B7E"/>
    <w:rsid w:val="006E2FEF"/>
    <w:rsid w:val="006E7D61"/>
    <w:rsid w:val="006F3441"/>
    <w:rsid w:val="006F5238"/>
    <w:rsid w:val="006F6119"/>
    <w:rsid w:val="00700421"/>
    <w:rsid w:val="00702775"/>
    <w:rsid w:val="007063C6"/>
    <w:rsid w:val="00706DE3"/>
    <w:rsid w:val="00706FCC"/>
    <w:rsid w:val="00715C35"/>
    <w:rsid w:val="0072065F"/>
    <w:rsid w:val="0072195F"/>
    <w:rsid w:val="00724BB1"/>
    <w:rsid w:val="007309E2"/>
    <w:rsid w:val="00731819"/>
    <w:rsid w:val="00731AEE"/>
    <w:rsid w:val="0073526F"/>
    <w:rsid w:val="0074227B"/>
    <w:rsid w:val="00742D02"/>
    <w:rsid w:val="00746B47"/>
    <w:rsid w:val="00746CA6"/>
    <w:rsid w:val="0074730D"/>
    <w:rsid w:val="00747536"/>
    <w:rsid w:val="00751D8F"/>
    <w:rsid w:val="0075609A"/>
    <w:rsid w:val="00757747"/>
    <w:rsid w:val="007600EA"/>
    <w:rsid w:val="00760C4F"/>
    <w:rsid w:val="00761964"/>
    <w:rsid w:val="00761999"/>
    <w:rsid w:val="00762EEC"/>
    <w:rsid w:val="00766952"/>
    <w:rsid w:val="0077475D"/>
    <w:rsid w:val="00775A9A"/>
    <w:rsid w:val="00780525"/>
    <w:rsid w:val="00783610"/>
    <w:rsid w:val="00784204"/>
    <w:rsid w:val="0078569A"/>
    <w:rsid w:val="0079137D"/>
    <w:rsid w:val="0079231E"/>
    <w:rsid w:val="0079269D"/>
    <w:rsid w:val="00795CCA"/>
    <w:rsid w:val="007A0A0B"/>
    <w:rsid w:val="007A63C1"/>
    <w:rsid w:val="007B045C"/>
    <w:rsid w:val="007B1F72"/>
    <w:rsid w:val="007B3A36"/>
    <w:rsid w:val="007C084F"/>
    <w:rsid w:val="007C5624"/>
    <w:rsid w:val="007C72D8"/>
    <w:rsid w:val="007D0726"/>
    <w:rsid w:val="007D1B40"/>
    <w:rsid w:val="007D5EB3"/>
    <w:rsid w:val="007D724D"/>
    <w:rsid w:val="007E45FF"/>
    <w:rsid w:val="007E4C28"/>
    <w:rsid w:val="007F6F62"/>
    <w:rsid w:val="00800B40"/>
    <w:rsid w:val="00800DA5"/>
    <w:rsid w:val="008119C4"/>
    <w:rsid w:val="00812EFC"/>
    <w:rsid w:val="00814CBF"/>
    <w:rsid w:val="00816252"/>
    <w:rsid w:val="0081637F"/>
    <w:rsid w:val="00816665"/>
    <w:rsid w:val="00820D3D"/>
    <w:rsid w:val="008219C3"/>
    <w:rsid w:val="00822905"/>
    <w:rsid w:val="008236D8"/>
    <w:rsid w:val="0082611B"/>
    <w:rsid w:val="00827EFD"/>
    <w:rsid w:val="00832422"/>
    <w:rsid w:val="00834765"/>
    <w:rsid w:val="00834B3A"/>
    <w:rsid w:val="00837006"/>
    <w:rsid w:val="00845EB2"/>
    <w:rsid w:val="00850AF4"/>
    <w:rsid w:val="00851A44"/>
    <w:rsid w:val="00855437"/>
    <w:rsid w:val="00856FF9"/>
    <w:rsid w:val="00857ED9"/>
    <w:rsid w:val="00860286"/>
    <w:rsid w:val="00860765"/>
    <w:rsid w:val="00864EFD"/>
    <w:rsid w:val="00866423"/>
    <w:rsid w:val="00872B72"/>
    <w:rsid w:val="008760C4"/>
    <w:rsid w:val="00876D69"/>
    <w:rsid w:val="00877C88"/>
    <w:rsid w:val="008820F1"/>
    <w:rsid w:val="008858E0"/>
    <w:rsid w:val="00885C79"/>
    <w:rsid w:val="0089138F"/>
    <w:rsid w:val="00893297"/>
    <w:rsid w:val="0089634F"/>
    <w:rsid w:val="00896633"/>
    <w:rsid w:val="00896FF7"/>
    <w:rsid w:val="008A10BD"/>
    <w:rsid w:val="008A4CDD"/>
    <w:rsid w:val="008B10F2"/>
    <w:rsid w:val="008B401B"/>
    <w:rsid w:val="008B486C"/>
    <w:rsid w:val="008B4DA9"/>
    <w:rsid w:val="008B70EE"/>
    <w:rsid w:val="008B7E9F"/>
    <w:rsid w:val="008C1E65"/>
    <w:rsid w:val="008C52FC"/>
    <w:rsid w:val="008C7035"/>
    <w:rsid w:val="008D01EC"/>
    <w:rsid w:val="008D3A12"/>
    <w:rsid w:val="008D59AD"/>
    <w:rsid w:val="008E57C4"/>
    <w:rsid w:val="008E6255"/>
    <w:rsid w:val="008E7F82"/>
    <w:rsid w:val="008F1575"/>
    <w:rsid w:val="008F33CC"/>
    <w:rsid w:val="008F34E8"/>
    <w:rsid w:val="008F35A7"/>
    <w:rsid w:val="008F62DA"/>
    <w:rsid w:val="009008AB"/>
    <w:rsid w:val="00904227"/>
    <w:rsid w:val="0090454A"/>
    <w:rsid w:val="009114C4"/>
    <w:rsid w:val="00912D94"/>
    <w:rsid w:val="00916ACB"/>
    <w:rsid w:val="00916B70"/>
    <w:rsid w:val="009223CD"/>
    <w:rsid w:val="00922CC5"/>
    <w:rsid w:val="00925F48"/>
    <w:rsid w:val="00927938"/>
    <w:rsid w:val="00932634"/>
    <w:rsid w:val="00932E27"/>
    <w:rsid w:val="009357AC"/>
    <w:rsid w:val="0093697F"/>
    <w:rsid w:val="00936A28"/>
    <w:rsid w:val="009428B3"/>
    <w:rsid w:val="00943EF6"/>
    <w:rsid w:val="00946367"/>
    <w:rsid w:val="009560FD"/>
    <w:rsid w:val="00957627"/>
    <w:rsid w:val="00965C3C"/>
    <w:rsid w:val="00967A1D"/>
    <w:rsid w:val="00970AC6"/>
    <w:rsid w:val="00971114"/>
    <w:rsid w:val="00971472"/>
    <w:rsid w:val="00976C64"/>
    <w:rsid w:val="0097729C"/>
    <w:rsid w:val="009774B9"/>
    <w:rsid w:val="00980A6C"/>
    <w:rsid w:val="0098371A"/>
    <w:rsid w:val="009857B3"/>
    <w:rsid w:val="009907B0"/>
    <w:rsid w:val="00992A0F"/>
    <w:rsid w:val="00994BE5"/>
    <w:rsid w:val="009A1BD7"/>
    <w:rsid w:val="009B004D"/>
    <w:rsid w:val="009B0DA6"/>
    <w:rsid w:val="009B2C00"/>
    <w:rsid w:val="009B4A65"/>
    <w:rsid w:val="009B4DFB"/>
    <w:rsid w:val="009B6A93"/>
    <w:rsid w:val="009C0220"/>
    <w:rsid w:val="009C1D90"/>
    <w:rsid w:val="009C2493"/>
    <w:rsid w:val="009C322C"/>
    <w:rsid w:val="009C35D9"/>
    <w:rsid w:val="009D3328"/>
    <w:rsid w:val="009D416A"/>
    <w:rsid w:val="009D4787"/>
    <w:rsid w:val="009D5AB4"/>
    <w:rsid w:val="009E133E"/>
    <w:rsid w:val="009E5F9B"/>
    <w:rsid w:val="009F027E"/>
    <w:rsid w:val="009F14F6"/>
    <w:rsid w:val="009F2D46"/>
    <w:rsid w:val="00A05E61"/>
    <w:rsid w:val="00A05F22"/>
    <w:rsid w:val="00A06E09"/>
    <w:rsid w:val="00A07570"/>
    <w:rsid w:val="00A1281B"/>
    <w:rsid w:val="00A15D82"/>
    <w:rsid w:val="00A2152E"/>
    <w:rsid w:val="00A2397E"/>
    <w:rsid w:val="00A244D4"/>
    <w:rsid w:val="00A36DFF"/>
    <w:rsid w:val="00A405EF"/>
    <w:rsid w:val="00A42948"/>
    <w:rsid w:val="00A44455"/>
    <w:rsid w:val="00A52138"/>
    <w:rsid w:val="00A55246"/>
    <w:rsid w:val="00A56FF3"/>
    <w:rsid w:val="00A572D9"/>
    <w:rsid w:val="00A614B7"/>
    <w:rsid w:val="00A62338"/>
    <w:rsid w:val="00A6400C"/>
    <w:rsid w:val="00A66C4E"/>
    <w:rsid w:val="00A66E5E"/>
    <w:rsid w:val="00A67682"/>
    <w:rsid w:val="00A7106A"/>
    <w:rsid w:val="00A75BF6"/>
    <w:rsid w:val="00A75FD0"/>
    <w:rsid w:val="00A7671C"/>
    <w:rsid w:val="00A803F3"/>
    <w:rsid w:val="00A83240"/>
    <w:rsid w:val="00A8385B"/>
    <w:rsid w:val="00A87698"/>
    <w:rsid w:val="00A96BCE"/>
    <w:rsid w:val="00AA2375"/>
    <w:rsid w:val="00AB035D"/>
    <w:rsid w:val="00AB10D4"/>
    <w:rsid w:val="00AB223C"/>
    <w:rsid w:val="00AC552F"/>
    <w:rsid w:val="00AC66AB"/>
    <w:rsid w:val="00AD0451"/>
    <w:rsid w:val="00AE1861"/>
    <w:rsid w:val="00AE2EAE"/>
    <w:rsid w:val="00AE4022"/>
    <w:rsid w:val="00AE5271"/>
    <w:rsid w:val="00AF4AE2"/>
    <w:rsid w:val="00B02409"/>
    <w:rsid w:val="00B03488"/>
    <w:rsid w:val="00B03BF4"/>
    <w:rsid w:val="00B03D62"/>
    <w:rsid w:val="00B049A5"/>
    <w:rsid w:val="00B13A6D"/>
    <w:rsid w:val="00B14D29"/>
    <w:rsid w:val="00B14DC3"/>
    <w:rsid w:val="00B16035"/>
    <w:rsid w:val="00B204AD"/>
    <w:rsid w:val="00B20994"/>
    <w:rsid w:val="00B25AC2"/>
    <w:rsid w:val="00B32763"/>
    <w:rsid w:val="00B44939"/>
    <w:rsid w:val="00B471EE"/>
    <w:rsid w:val="00B51154"/>
    <w:rsid w:val="00B55338"/>
    <w:rsid w:val="00B56501"/>
    <w:rsid w:val="00B571C5"/>
    <w:rsid w:val="00B608A6"/>
    <w:rsid w:val="00B76CE9"/>
    <w:rsid w:val="00B842ED"/>
    <w:rsid w:val="00B85472"/>
    <w:rsid w:val="00B872E7"/>
    <w:rsid w:val="00B87977"/>
    <w:rsid w:val="00B916CB"/>
    <w:rsid w:val="00B9251D"/>
    <w:rsid w:val="00BA6314"/>
    <w:rsid w:val="00BB048F"/>
    <w:rsid w:val="00BB5124"/>
    <w:rsid w:val="00BB7DDC"/>
    <w:rsid w:val="00BD0379"/>
    <w:rsid w:val="00BD2115"/>
    <w:rsid w:val="00BD48AA"/>
    <w:rsid w:val="00BD4BD1"/>
    <w:rsid w:val="00BD7AD9"/>
    <w:rsid w:val="00BE26C4"/>
    <w:rsid w:val="00BE6A0E"/>
    <w:rsid w:val="00BE71D8"/>
    <w:rsid w:val="00BF285F"/>
    <w:rsid w:val="00BF53EF"/>
    <w:rsid w:val="00C023CE"/>
    <w:rsid w:val="00C103C4"/>
    <w:rsid w:val="00C11FA3"/>
    <w:rsid w:val="00C15296"/>
    <w:rsid w:val="00C179BC"/>
    <w:rsid w:val="00C2038C"/>
    <w:rsid w:val="00C27577"/>
    <w:rsid w:val="00C277AF"/>
    <w:rsid w:val="00C30BD5"/>
    <w:rsid w:val="00C35E0C"/>
    <w:rsid w:val="00C36C9D"/>
    <w:rsid w:val="00C37F9A"/>
    <w:rsid w:val="00C410F1"/>
    <w:rsid w:val="00C4285E"/>
    <w:rsid w:val="00C44A6E"/>
    <w:rsid w:val="00C529A2"/>
    <w:rsid w:val="00C53C3A"/>
    <w:rsid w:val="00C54B43"/>
    <w:rsid w:val="00C5695F"/>
    <w:rsid w:val="00C60954"/>
    <w:rsid w:val="00C66C55"/>
    <w:rsid w:val="00C66E70"/>
    <w:rsid w:val="00C71C31"/>
    <w:rsid w:val="00C7309B"/>
    <w:rsid w:val="00C73D92"/>
    <w:rsid w:val="00C75AF1"/>
    <w:rsid w:val="00C83ACF"/>
    <w:rsid w:val="00C87B14"/>
    <w:rsid w:val="00C933C5"/>
    <w:rsid w:val="00CA3C92"/>
    <w:rsid w:val="00CA47CC"/>
    <w:rsid w:val="00CA5117"/>
    <w:rsid w:val="00CA694B"/>
    <w:rsid w:val="00CA7600"/>
    <w:rsid w:val="00CA7DDB"/>
    <w:rsid w:val="00CB3956"/>
    <w:rsid w:val="00CB4EC0"/>
    <w:rsid w:val="00CC45FE"/>
    <w:rsid w:val="00CC6674"/>
    <w:rsid w:val="00CD3D2F"/>
    <w:rsid w:val="00CD3DFE"/>
    <w:rsid w:val="00CE2630"/>
    <w:rsid w:val="00CE2DE7"/>
    <w:rsid w:val="00CE72BE"/>
    <w:rsid w:val="00CF0F0D"/>
    <w:rsid w:val="00CF1DDE"/>
    <w:rsid w:val="00CF2DA3"/>
    <w:rsid w:val="00D00559"/>
    <w:rsid w:val="00D005BE"/>
    <w:rsid w:val="00D017F9"/>
    <w:rsid w:val="00D05B5E"/>
    <w:rsid w:val="00D0731D"/>
    <w:rsid w:val="00D107D5"/>
    <w:rsid w:val="00D10FA2"/>
    <w:rsid w:val="00D1194E"/>
    <w:rsid w:val="00D13512"/>
    <w:rsid w:val="00D156EE"/>
    <w:rsid w:val="00D17CAE"/>
    <w:rsid w:val="00D226A2"/>
    <w:rsid w:val="00D25464"/>
    <w:rsid w:val="00D2562B"/>
    <w:rsid w:val="00D2648A"/>
    <w:rsid w:val="00D265A1"/>
    <w:rsid w:val="00D30916"/>
    <w:rsid w:val="00D41C5E"/>
    <w:rsid w:val="00D44D59"/>
    <w:rsid w:val="00D47CB1"/>
    <w:rsid w:val="00D50CD1"/>
    <w:rsid w:val="00D57C32"/>
    <w:rsid w:val="00D717C7"/>
    <w:rsid w:val="00D724D4"/>
    <w:rsid w:val="00D76D02"/>
    <w:rsid w:val="00D909F2"/>
    <w:rsid w:val="00D92975"/>
    <w:rsid w:val="00D92C5A"/>
    <w:rsid w:val="00D937EC"/>
    <w:rsid w:val="00D93ABA"/>
    <w:rsid w:val="00D96E60"/>
    <w:rsid w:val="00DA08A7"/>
    <w:rsid w:val="00DA2769"/>
    <w:rsid w:val="00DA3B74"/>
    <w:rsid w:val="00DA706F"/>
    <w:rsid w:val="00DB0718"/>
    <w:rsid w:val="00DB0B51"/>
    <w:rsid w:val="00DB1632"/>
    <w:rsid w:val="00DB4D92"/>
    <w:rsid w:val="00DB7EAD"/>
    <w:rsid w:val="00DC26E7"/>
    <w:rsid w:val="00DC2E37"/>
    <w:rsid w:val="00DC38F6"/>
    <w:rsid w:val="00DD01BC"/>
    <w:rsid w:val="00DD2143"/>
    <w:rsid w:val="00DE05AA"/>
    <w:rsid w:val="00DE1361"/>
    <w:rsid w:val="00DF4BA7"/>
    <w:rsid w:val="00E01BAE"/>
    <w:rsid w:val="00E05145"/>
    <w:rsid w:val="00E051F9"/>
    <w:rsid w:val="00E10A6D"/>
    <w:rsid w:val="00E11B75"/>
    <w:rsid w:val="00E1288A"/>
    <w:rsid w:val="00E13879"/>
    <w:rsid w:val="00E16243"/>
    <w:rsid w:val="00E228BF"/>
    <w:rsid w:val="00E264FF"/>
    <w:rsid w:val="00E26DE9"/>
    <w:rsid w:val="00E31BFA"/>
    <w:rsid w:val="00E32006"/>
    <w:rsid w:val="00E33A1D"/>
    <w:rsid w:val="00E414F0"/>
    <w:rsid w:val="00E42118"/>
    <w:rsid w:val="00E426A1"/>
    <w:rsid w:val="00E502B0"/>
    <w:rsid w:val="00E50469"/>
    <w:rsid w:val="00E51666"/>
    <w:rsid w:val="00E51CAD"/>
    <w:rsid w:val="00E528DE"/>
    <w:rsid w:val="00E53338"/>
    <w:rsid w:val="00E548F1"/>
    <w:rsid w:val="00E6168B"/>
    <w:rsid w:val="00E633B3"/>
    <w:rsid w:val="00E63D4B"/>
    <w:rsid w:val="00E66144"/>
    <w:rsid w:val="00E66269"/>
    <w:rsid w:val="00E67E6B"/>
    <w:rsid w:val="00E74968"/>
    <w:rsid w:val="00E75F03"/>
    <w:rsid w:val="00E80562"/>
    <w:rsid w:val="00E807F3"/>
    <w:rsid w:val="00E83CF5"/>
    <w:rsid w:val="00E917A9"/>
    <w:rsid w:val="00E93BE4"/>
    <w:rsid w:val="00EA2799"/>
    <w:rsid w:val="00EA61E1"/>
    <w:rsid w:val="00EB105B"/>
    <w:rsid w:val="00EB25EE"/>
    <w:rsid w:val="00EB3515"/>
    <w:rsid w:val="00EB4614"/>
    <w:rsid w:val="00EC0193"/>
    <w:rsid w:val="00EC7028"/>
    <w:rsid w:val="00ED3652"/>
    <w:rsid w:val="00ED5AD2"/>
    <w:rsid w:val="00ED5E02"/>
    <w:rsid w:val="00EE04E0"/>
    <w:rsid w:val="00EE0A85"/>
    <w:rsid w:val="00EE141F"/>
    <w:rsid w:val="00EE1FC2"/>
    <w:rsid w:val="00EE217B"/>
    <w:rsid w:val="00EE2484"/>
    <w:rsid w:val="00EF0D55"/>
    <w:rsid w:val="00EF12A4"/>
    <w:rsid w:val="00EF4B40"/>
    <w:rsid w:val="00EF5FEC"/>
    <w:rsid w:val="00F00C55"/>
    <w:rsid w:val="00F00E24"/>
    <w:rsid w:val="00F015AD"/>
    <w:rsid w:val="00F03062"/>
    <w:rsid w:val="00F044EE"/>
    <w:rsid w:val="00F050A9"/>
    <w:rsid w:val="00F06BCD"/>
    <w:rsid w:val="00F10DE0"/>
    <w:rsid w:val="00F11A00"/>
    <w:rsid w:val="00F13075"/>
    <w:rsid w:val="00F1403C"/>
    <w:rsid w:val="00F170DB"/>
    <w:rsid w:val="00F17985"/>
    <w:rsid w:val="00F20488"/>
    <w:rsid w:val="00F2432B"/>
    <w:rsid w:val="00F26680"/>
    <w:rsid w:val="00F452B4"/>
    <w:rsid w:val="00F47739"/>
    <w:rsid w:val="00F47EAE"/>
    <w:rsid w:val="00F51EF3"/>
    <w:rsid w:val="00F5223A"/>
    <w:rsid w:val="00F56869"/>
    <w:rsid w:val="00F616FC"/>
    <w:rsid w:val="00F63EEA"/>
    <w:rsid w:val="00F63FE6"/>
    <w:rsid w:val="00F642FB"/>
    <w:rsid w:val="00F6622B"/>
    <w:rsid w:val="00F70310"/>
    <w:rsid w:val="00F72374"/>
    <w:rsid w:val="00F76945"/>
    <w:rsid w:val="00F771E8"/>
    <w:rsid w:val="00F82349"/>
    <w:rsid w:val="00F83BEF"/>
    <w:rsid w:val="00F875E9"/>
    <w:rsid w:val="00F95628"/>
    <w:rsid w:val="00FA5FFA"/>
    <w:rsid w:val="00FB45B7"/>
    <w:rsid w:val="00FB7BF1"/>
    <w:rsid w:val="00FC07F9"/>
    <w:rsid w:val="00FC0D4B"/>
    <w:rsid w:val="00FC2829"/>
    <w:rsid w:val="00FC3EBF"/>
    <w:rsid w:val="00FC520A"/>
    <w:rsid w:val="00FC574D"/>
    <w:rsid w:val="00FC67B9"/>
    <w:rsid w:val="00FC73DA"/>
    <w:rsid w:val="00FD1CCC"/>
    <w:rsid w:val="00FD22BB"/>
    <w:rsid w:val="00FD2C69"/>
    <w:rsid w:val="00FD42C5"/>
    <w:rsid w:val="00FD4CA9"/>
    <w:rsid w:val="00FD4EE6"/>
    <w:rsid w:val="00FD5C31"/>
    <w:rsid w:val="00FD7899"/>
    <w:rsid w:val="00FE7D6B"/>
    <w:rsid w:val="00FF21FB"/>
    <w:rsid w:val="00FF2516"/>
    <w:rsid w:val="00FF3B1E"/>
    <w:rsid w:val="00FF4DBD"/>
    <w:rsid w:val="00FF77DC"/>
    <w:rsid w:val="011A6CB4"/>
    <w:rsid w:val="1D4F228F"/>
    <w:rsid w:val="24780483"/>
    <w:rsid w:val="252704DE"/>
    <w:rsid w:val="25A776FE"/>
    <w:rsid w:val="2C905504"/>
    <w:rsid w:val="2D9A188A"/>
    <w:rsid w:val="2E0303D0"/>
    <w:rsid w:val="2EF74827"/>
    <w:rsid w:val="310973A2"/>
    <w:rsid w:val="356F3222"/>
    <w:rsid w:val="385E7389"/>
    <w:rsid w:val="3AB5022A"/>
    <w:rsid w:val="3BFFD18A"/>
    <w:rsid w:val="3D803776"/>
    <w:rsid w:val="47EE6B31"/>
    <w:rsid w:val="515A7D7D"/>
    <w:rsid w:val="559B3C58"/>
    <w:rsid w:val="56491E3F"/>
    <w:rsid w:val="5AC764B1"/>
    <w:rsid w:val="64DA7A02"/>
    <w:rsid w:val="720921CE"/>
    <w:rsid w:val="772E453B"/>
    <w:rsid w:val="774EB11A"/>
    <w:rsid w:val="7B5CD840"/>
    <w:rsid w:val="7C5F2814"/>
    <w:rsid w:val="AFE94873"/>
    <w:rsid w:val="D3FE8141"/>
    <w:rsid w:val="F1E703D8"/>
    <w:rsid w:val="F7DE8C6F"/>
    <w:rsid w:val="F8FD44E1"/>
    <w:rsid w:val="FFB60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29"/>
    <w:semiHidden/>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7"/>
    <w:semiHidden/>
    <w:unhideWhenUsed/>
    <w:qFormat/>
    <w:uiPriority w:val="99"/>
  </w:style>
  <w:style w:type="paragraph" w:styleId="5">
    <w:name w:val="toc 3"/>
    <w:basedOn w:val="1"/>
    <w:next w:val="1"/>
    <w:unhideWhenUsed/>
    <w:qFormat/>
    <w:uiPriority w:val="39"/>
    <w:pPr>
      <w:ind w:left="840" w:leftChars="400"/>
    </w:pPr>
  </w:style>
  <w:style w:type="paragraph" w:styleId="6">
    <w:name w:val="Balloon Text"/>
    <w:basedOn w:val="1"/>
    <w:link w:val="26"/>
    <w:semiHidden/>
    <w:unhideWhenUsed/>
    <w:qFormat/>
    <w:uiPriority w:val="99"/>
    <w:rPr>
      <w:sz w:val="18"/>
      <w:szCs w:val="18"/>
    </w:rPr>
  </w:style>
  <w:style w:type="paragraph" w:styleId="7">
    <w:name w:val="footer"/>
    <w:basedOn w:val="1"/>
    <w:link w:val="20"/>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8">
    <w:name w:val="header"/>
    <w:basedOn w:val="1"/>
    <w:link w:val="19"/>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9">
    <w:name w:val="toc 1"/>
    <w:basedOn w:val="1"/>
    <w:next w:val="1"/>
    <w:unhideWhenUsed/>
    <w:qFormat/>
    <w:uiPriority w:val="39"/>
  </w:style>
  <w:style w:type="paragraph" w:styleId="10">
    <w:name w:val="Subtitle"/>
    <w:basedOn w:val="1"/>
    <w:next w:val="1"/>
    <w:link w:val="21"/>
    <w:qFormat/>
    <w:uiPriority w:val="9"/>
    <w:pPr>
      <w:widowControl w:val="0"/>
      <w:spacing w:before="240" w:after="60" w:line="312" w:lineRule="auto"/>
      <w:ind w:firstLine="200" w:firstLineChars="200"/>
      <w:jc w:val="center"/>
      <w:outlineLvl w:val="1"/>
    </w:pPr>
    <w:rPr>
      <w:rFonts w:eastAsia="仿宋" w:asciiTheme="majorHAnsi" w:hAnsiTheme="majorHAnsi" w:cstheme="majorBidi"/>
      <w:b/>
      <w:bCs/>
      <w:kern w:val="28"/>
      <w:sz w:val="32"/>
      <w:szCs w:val="32"/>
    </w:rPr>
  </w:style>
  <w:style w:type="paragraph" w:styleId="11">
    <w:name w:val="toc 2"/>
    <w:basedOn w:val="1"/>
    <w:next w:val="1"/>
    <w:unhideWhenUsed/>
    <w:qFormat/>
    <w:uiPriority w:val="39"/>
    <w:pPr>
      <w:ind w:left="420" w:leftChars="200"/>
    </w:pPr>
  </w:style>
  <w:style w:type="paragraph" w:styleId="12">
    <w:name w:val="Title"/>
    <w:basedOn w:val="1"/>
    <w:next w:val="1"/>
    <w:link w:val="22"/>
    <w:qFormat/>
    <w:uiPriority w:val="10"/>
    <w:pPr>
      <w:widowControl w:val="0"/>
      <w:spacing w:before="240" w:after="60"/>
      <w:ind w:firstLine="200" w:firstLineChars="200"/>
      <w:jc w:val="center"/>
      <w:outlineLvl w:val="0"/>
    </w:pPr>
    <w:rPr>
      <w:rFonts w:eastAsia="仿宋" w:asciiTheme="majorHAnsi" w:hAnsiTheme="majorHAnsi" w:cstheme="majorBidi"/>
      <w:b/>
      <w:bCs/>
      <w:kern w:val="2"/>
      <w:sz w:val="32"/>
      <w:szCs w:val="32"/>
    </w:rPr>
  </w:style>
  <w:style w:type="paragraph" w:styleId="13">
    <w:name w:val="annotation subject"/>
    <w:basedOn w:val="4"/>
    <w:next w:val="4"/>
    <w:link w:val="28"/>
    <w:semiHidden/>
    <w:unhideWhenUsed/>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styleId="18">
    <w:name w:val="annotation reference"/>
    <w:basedOn w:val="16"/>
    <w:semiHidden/>
    <w:unhideWhenUsed/>
    <w:qFormat/>
    <w:uiPriority w:val="99"/>
    <w:rPr>
      <w:sz w:val="21"/>
      <w:szCs w:val="21"/>
    </w:rPr>
  </w:style>
  <w:style w:type="character" w:customStyle="1" w:styleId="19">
    <w:name w:val="页眉 字符"/>
    <w:basedOn w:val="16"/>
    <w:link w:val="8"/>
    <w:qFormat/>
    <w:uiPriority w:val="99"/>
    <w:rPr>
      <w:sz w:val="18"/>
      <w:szCs w:val="18"/>
    </w:rPr>
  </w:style>
  <w:style w:type="character" w:customStyle="1" w:styleId="20">
    <w:name w:val="页脚 字符"/>
    <w:basedOn w:val="16"/>
    <w:link w:val="7"/>
    <w:qFormat/>
    <w:uiPriority w:val="99"/>
    <w:rPr>
      <w:sz w:val="18"/>
      <w:szCs w:val="18"/>
    </w:rPr>
  </w:style>
  <w:style w:type="character" w:customStyle="1" w:styleId="21">
    <w:name w:val="副标题 字符"/>
    <w:basedOn w:val="16"/>
    <w:link w:val="10"/>
    <w:qFormat/>
    <w:uiPriority w:val="9"/>
    <w:rPr>
      <w:rFonts w:eastAsia="仿宋" w:asciiTheme="majorHAnsi" w:hAnsiTheme="majorHAnsi" w:cstheme="majorBidi"/>
      <w:b/>
      <w:bCs/>
      <w:kern w:val="28"/>
      <w:sz w:val="32"/>
      <w:szCs w:val="32"/>
    </w:rPr>
  </w:style>
  <w:style w:type="character" w:customStyle="1" w:styleId="22">
    <w:name w:val="标题 字符"/>
    <w:basedOn w:val="16"/>
    <w:link w:val="12"/>
    <w:qFormat/>
    <w:uiPriority w:val="10"/>
    <w:rPr>
      <w:rFonts w:eastAsia="仿宋" w:asciiTheme="majorHAnsi" w:hAnsiTheme="majorHAnsi" w:cstheme="majorBidi"/>
      <w:b/>
      <w:bCs/>
      <w:sz w:val="32"/>
      <w:szCs w:val="32"/>
    </w:rPr>
  </w:style>
  <w:style w:type="paragraph" w:styleId="23">
    <w:name w:val="List Paragraph"/>
    <w:basedOn w:val="1"/>
    <w:qFormat/>
    <w:uiPriority w:val="34"/>
    <w:pPr>
      <w:ind w:firstLine="420" w:firstLineChars="200"/>
    </w:pPr>
  </w:style>
  <w:style w:type="character" w:customStyle="1" w:styleId="24">
    <w:name w:val="标题 1 字符"/>
    <w:basedOn w:val="16"/>
    <w:link w:val="2"/>
    <w:qFormat/>
    <w:uiPriority w:val="9"/>
    <w:rPr>
      <w:rFonts w:ascii="宋体" w:hAnsi="宋体" w:eastAsia="宋体" w:cs="宋体"/>
      <w:b/>
      <w:bCs/>
      <w:kern w:val="44"/>
      <w:sz w:val="44"/>
      <w:szCs w:val="44"/>
    </w:rPr>
  </w:style>
  <w:style w:type="paragraph" w:customStyle="1" w:styleId="25">
    <w:name w:val="TOC 标题1"/>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6">
    <w:name w:val="批注框文本 字符"/>
    <w:basedOn w:val="16"/>
    <w:link w:val="6"/>
    <w:semiHidden/>
    <w:qFormat/>
    <w:uiPriority w:val="99"/>
    <w:rPr>
      <w:rFonts w:ascii="宋体" w:hAnsi="宋体" w:eastAsia="宋体" w:cs="宋体"/>
      <w:kern w:val="0"/>
      <w:sz w:val="18"/>
      <w:szCs w:val="18"/>
    </w:rPr>
  </w:style>
  <w:style w:type="character" w:customStyle="1" w:styleId="27">
    <w:name w:val="批注文字 字符"/>
    <w:basedOn w:val="16"/>
    <w:link w:val="4"/>
    <w:semiHidden/>
    <w:qFormat/>
    <w:uiPriority w:val="99"/>
    <w:rPr>
      <w:rFonts w:ascii="宋体" w:hAnsi="宋体" w:eastAsia="宋体" w:cs="宋体"/>
      <w:kern w:val="0"/>
      <w:sz w:val="24"/>
      <w:szCs w:val="24"/>
    </w:rPr>
  </w:style>
  <w:style w:type="character" w:customStyle="1" w:styleId="28">
    <w:name w:val="批注主题 字符"/>
    <w:basedOn w:val="27"/>
    <w:link w:val="13"/>
    <w:semiHidden/>
    <w:qFormat/>
    <w:uiPriority w:val="99"/>
    <w:rPr>
      <w:rFonts w:ascii="宋体" w:hAnsi="宋体" w:eastAsia="宋体" w:cs="宋体"/>
      <w:b/>
      <w:bCs/>
      <w:kern w:val="0"/>
      <w:sz w:val="24"/>
      <w:szCs w:val="24"/>
    </w:rPr>
  </w:style>
  <w:style w:type="character" w:customStyle="1" w:styleId="29">
    <w:name w:val="标题 3 字符"/>
    <w:basedOn w:val="16"/>
    <w:link w:val="3"/>
    <w:semiHidden/>
    <w:qFormat/>
    <w:uiPriority w:val="9"/>
    <w:rPr>
      <w:rFonts w:ascii="宋体" w:hAnsi="宋体" w:eastAsia="宋体" w:cs="宋体"/>
      <w:b/>
      <w:bCs/>
      <w:sz w:val="32"/>
      <w:szCs w:val="32"/>
    </w:rPr>
  </w:style>
  <w:style w:type="paragraph" w:customStyle="1" w:styleId="30">
    <w:name w:val="修订1"/>
    <w:hidden/>
    <w:semiHidden/>
    <w:qFormat/>
    <w:uiPriority w:val="99"/>
    <w:rPr>
      <w:rFonts w:ascii="宋体" w:hAnsi="宋体" w:eastAsia="宋体" w:cs="宋体"/>
      <w:sz w:val="24"/>
      <w:szCs w:val="24"/>
      <w:lang w:val="en-US" w:eastAsia="zh-CN" w:bidi="ar-SA"/>
    </w:rPr>
  </w:style>
  <w:style w:type="paragraph" w:customStyle="1" w:styleId="31">
    <w:name w:val="修订2"/>
    <w:hidden/>
    <w:semiHidden/>
    <w:qFormat/>
    <w:uiPriority w:val="99"/>
    <w:rPr>
      <w:rFonts w:ascii="宋体" w:hAnsi="宋体" w:eastAsia="宋体" w:cs="宋体"/>
      <w:sz w:val="24"/>
      <w:szCs w:val="24"/>
      <w:lang w:val="en-US" w:eastAsia="zh-CN" w:bidi="ar-SA"/>
    </w:rPr>
  </w:style>
  <w:style w:type="paragraph" w:customStyle="1" w:styleId="32">
    <w:name w:val="修订3"/>
    <w:hidden/>
    <w:semiHidden/>
    <w:qFormat/>
    <w:uiPriority w:val="99"/>
    <w:rPr>
      <w:rFonts w:ascii="宋体" w:hAnsi="宋体" w:eastAsia="宋体" w:cs="宋体"/>
      <w:sz w:val="24"/>
      <w:szCs w:val="24"/>
      <w:lang w:val="en-US" w:eastAsia="zh-CN" w:bidi="ar-SA"/>
    </w:rPr>
  </w:style>
  <w:style w:type="paragraph" w:customStyle="1" w:styleId="33">
    <w:name w:val="修订4"/>
    <w:hidden/>
    <w:semiHidden/>
    <w:qFormat/>
    <w:uiPriority w:val="99"/>
    <w:rPr>
      <w:rFonts w:ascii="宋体" w:hAnsi="宋体" w:eastAsia="宋体" w:cs="宋体"/>
      <w:sz w:val="24"/>
      <w:szCs w:val="24"/>
      <w:lang w:val="en-US" w:eastAsia="zh-CN" w:bidi="ar-SA"/>
    </w:rPr>
  </w:style>
  <w:style w:type="paragraph" w:customStyle="1" w:styleId="34">
    <w:name w:val="Revision"/>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237</Words>
  <Characters>1356</Characters>
  <Lines>11</Lines>
  <Paragraphs>3</Paragraphs>
  <TotalTime>41</TotalTime>
  <ScaleCrop>false</ScaleCrop>
  <LinksUpToDate>false</LinksUpToDate>
  <CharactersWithSpaces>1590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2021-10-17T21:32:00Z</dcterms:created>
  <dc:creator>BTC</dc:creator>
  <cp:lastModifiedBy>sxszf</cp:lastModifiedBy>
  <cp:lastPrinted>2022-11-04T02:18:00Z</cp:lastPrinted>
  <dcterms:modified xsi:type="dcterms:W3CDTF">2022-11-29T09:42:03Z</dcterms:modified>
  <dc:title>绍兴市人民政府国有资产监督管理委员会2021年度行政事业性国有资产管理</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69B5F2748C044145630E07636A7D2AA6</vt:lpwstr>
  </property>
</Properties>
</file>