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黑体" w:hAnsi="黑体" w:eastAsia="黑体" w:cs="黑体"/>
          <w:b/>
          <w:color w:val="auto"/>
          <w:sz w:val="44"/>
          <w:szCs w:val="44"/>
        </w:rPr>
      </w:pPr>
    </w:p>
    <w:p>
      <w:pPr>
        <w:spacing w:line="560" w:lineRule="exact"/>
        <w:jc w:val="center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绍兴市2021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年度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“1+9”政策绩效</w:t>
      </w:r>
      <w:bookmarkStart w:id="4" w:name="_GoBack"/>
      <w:bookmarkEnd w:id="4"/>
    </w:p>
    <w:p>
      <w:pPr>
        <w:spacing w:line="560" w:lineRule="exact"/>
        <w:jc w:val="center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评价报告——“三农”政策</w:t>
      </w:r>
    </w:p>
    <w:p>
      <w:pPr>
        <w:spacing w:line="600" w:lineRule="exact"/>
        <w:jc w:val="center"/>
        <w:rPr>
          <w:rFonts w:ascii="黑体" w:hAnsi="黑体" w:eastAsia="黑体" w:cs="Times New Roman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仿宋_GB2312"/>
          <w:bCs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32"/>
        </w:rPr>
        <w:t>一、政策基本情况</w:t>
      </w:r>
    </w:p>
    <w:p>
      <w:pPr>
        <w:widowControl/>
        <w:shd w:val="clear" w:color="auto" w:fill="FFFFFF"/>
        <w:ind w:firstLine="642" w:firstLineChars="200"/>
        <w:outlineLvl w:val="1"/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kern w:val="0"/>
          <w:sz w:val="32"/>
          <w:szCs w:val="32"/>
        </w:rPr>
        <w:t>（一）</w:t>
      </w:r>
      <w:r>
        <w:rPr>
          <w:rFonts w:hint="eastAsia" w:ascii="楷体" w:hAnsi="楷体" w:eastAsia="楷体" w:cs="Times New Roman"/>
          <w:b/>
          <w:sz w:val="32"/>
          <w:szCs w:val="32"/>
        </w:rPr>
        <w:t>政策出台情况</w:t>
      </w:r>
    </w:p>
    <w:p>
      <w:pPr>
        <w:widowControl/>
        <w:shd w:val="clear" w:color="auto" w:fill="FFFFFF"/>
        <w:spacing w:line="240" w:lineRule="atLeast"/>
        <w:ind w:firstLine="640" w:firstLineChars="200"/>
        <w:rPr>
          <w:rFonts w:ascii="仿宋_GB2312" w:hAnsi="楷体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2021年，绍兴市修订出台了《关于加快推动“三农”高质量发展的若干政策》（绍政办发〔2021〕39号），共包括大力发展高效生态农业、加快促进产业融合发展、积极培育新型农业经营主体、深入推进新时代美丽乡村建设、切实提高农村民生水平和着力深化农村改革</w:t>
      </w:r>
      <w:r>
        <w:rPr>
          <w:rFonts w:hint="eastAsia" w:ascii="仿宋_GB2312" w:hAnsi="仿宋" w:eastAsia="仿宋_GB2312"/>
          <w:sz w:val="32"/>
          <w:szCs w:val="32"/>
        </w:rPr>
        <w:t>6大支持方向和24条具体政策。较上一轮政策</w:t>
      </w:r>
      <w:r>
        <w:rPr>
          <w:rFonts w:hint="eastAsia" w:ascii="仿宋_GB2312" w:hAnsi="仿宋" w:eastAsia="仿宋_GB2312" w:cs="仿宋_GB2312"/>
          <w:sz w:val="32"/>
          <w:szCs w:val="32"/>
        </w:rPr>
        <w:t>新增5条，作废3条，修订16条。</w:t>
      </w:r>
      <w:r>
        <w:rPr>
          <w:rFonts w:hint="eastAsia" w:ascii="仿宋_GB2312" w:hAnsi="黑体" w:eastAsia="仿宋_GB2312" w:cs="Times New Roman"/>
          <w:sz w:val="32"/>
          <w:szCs w:val="32"/>
        </w:rPr>
        <w:t>2021年，绍兴市“三农”政策市级预算资金安排</w:t>
      </w:r>
      <w:r>
        <w:rPr>
          <w:rFonts w:ascii="仿宋_GB2312" w:hAnsi="黑体" w:eastAsia="仿宋_GB2312" w:cs="Times New Roman"/>
          <w:sz w:val="32"/>
          <w:szCs w:val="32"/>
        </w:rPr>
        <w:t>1.35</w:t>
      </w:r>
      <w:r>
        <w:rPr>
          <w:rFonts w:hint="eastAsia" w:ascii="仿宋_GB2312" w:hAnsi="黑体" w:eastAsia="仿宋_GB2312" w:cs="Times New Roman"/>
          <w:sz w:val="32"/>
          <w:szCs w:val="32"/>
        </w:rPr>
        <w:t>亿元，实际兑现</w:t>
      </w:r>
      <w:r>
        <w:rPr>
          <w:rFonts w:ascii="仿宋_GB2312" w:hAnsi="黑体" w:eastAsia="仿宋_GB2312" w:cs="Times New Roman"/>
          <w:sz w:val="32"/>
          <w:szCs w:val="32"/>
        </w:rPr>
        <w:t>1.24</w:t>
      </w:r>
      <w:r>
        <w:rPr>
          <w:rFonts w:hint="eastAsia" w:ascii="仿宋_GB2312" w:hAnsi="黑体" w:eastAsia="仿宋_GB2312" w:cs="Times New Roman"/>
          <w:sz w:val="32"/>
          <w:szCs w:val="32"/>
        </w:rPr>
        <w:t>亿元，预算执行率为92.40%，主要系“完善农产品流通体系”子政策存在空转的情况。</w:t>
      </w:r>
    </w:p>
    <w:p>
      <w:pPr>
        <w:widowControl/>
        <w:shd w:val="clear" w:color="auto" w:fill="FFFFFF"/>
        <w:spacing w:line="240" w:lineRule="atLeast"/>
        <w:ind w:firstLine="640" w:firstLineChars="200"/>
        <w:rPr>
          <w:rFonts w:hint="eastAsia" w:ascii="黑体" w:hAnsi="黑体" w:eastAsia="黑体" w:cs="仿宋_GB2312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二、政策</w:t>
      </w:r>
      <w:r>
        <w:rPr>
          <w:rFonts w:hint="eastAsia" w:ascii="黑体" w:hAnsi="黑体" w:eastAsia="黑体" w:cs="仿宋_GB2312"/>
          <w:b w:val="0"/>
          <w:bCs w:val="0"/>
          <w:kern w:val="0"/>
          <w:sz w:val="32"/>
          <w:szCs w:val="32"/>
        </w:rPr>
        <w:t>评价结论</w:t>
      </w:r>
    </w:p>
    <w:p>
      <w:pPr>
        <w:widowControl/>
        <w:shd w:val="clear" w:color="auto" w:fill="FFFFFF"/>
        <w:spacing w:line="240" w:lineRule="atLeast"/>
        <w:ind w:firstLine="640" w:firstLineChars="200"/>
        <w:rPr>
          <w:rFonts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sz w:val="32"/>
          <w:szCs w:val="32"/>
        </w:rPr>
        <w:t>本次评价按照</w:t>
      </w:r>
      <w:r>
        <w:rPr>
          <w:rFonts w:hint="eastAsia" w:ascii="仿宋_GB2312" w:eastAsia="仿宋_GB2312"/>
          <w:sz w:val="32"/>
          <w:szCs w:val="32"/>
        </w:rPr>
        <w:t>“政策制定——政策执行——政策绩效”</w:t>
      </w:r>
      <w:r>
        <w:rPr>
          <w:rFonts w:hint="eastAsia" w:eastAsia="仿宋_GB2312"/>
          <w:sz w:val="32"/>
          <w:szCs w:val="32"/>
        </w:rPr>
        <w:t>基本逻辑，分别从“经济性”、“效率性”、“有效性”三个维度进行评价。通过</w:t>
      </w:r>
      <w:r>
        <w:rPr>
          <w:rFonts w:hint="eastAsia" w:eastAsia="仿宋_GB2312"/>
          <w:kern w:val="0"/>
          <w:sz w:val="32"/>
          <w:szCs w:val="32"/>
        </w:rPr>
        <w:t>评价分析，</w:t>
      </w:r>
      <w:r>
        <w:rPr>
          <w:rFonts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2021年绍兴市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“三农”</w:t>
      </w:r>
      <w:r>
        <w:rPr>
          <w:rFonts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政策</w:t>
      </w:r>
      <w:r>
        <w:rPr>
          <w:rFonts w:hint="eastAsia" w:eastAsia="仿宋_GB2312"/>
          <w:kern w:val="0"/>
          <w:sz w:val="32"/>
          <w:szCs w:val="32"/>
        </w:rPr>
        <w:t>绩效评价得分率</w:t>
      </w:r>
      <w:r>
        <w:rPr>
          <w:rFonts w:ascii="仿宋_GB2312" w:eastAsia="仿宋_GB2312"/>
          <w:b/>
          <w:bCs/>
          <w:kern w:val="0"/>
          <w:sz w:val="32"/>
          <w:szCs w:val="32"/>
        </w:rPr>
        <w:t>87.13%</w:t>
      </w:r>
      <w:r>
        <w:rPr>
          <w:rFonts w:hint="eastAsia" w:eastAsia="仿宋_GB2312"/>
          <w:b/>
          <w:bCs/>
          <w:kern w:val="0"/>
          <w:sz w:val="32"/>
          <w:szCs w:val="32"/>
        </w:rPr>
        <w:t>，</w:t>
      </w:r>
      <w:r>
        <w:rPr>
          <w:rFonts w:hint="eastAsia" w:eastAsia="仿宋_GB2312"/>
          <w:kern w:val="0"/>
          <w:sz w:val="32"/>
          <w:szCs w:val="32"/>
        </w:rPr>
        <w:t>评价等级为：</w:t>
      </w:r>
      <w:r>
        <w:rPr>
          <w:rFonts w:hint="eastAsia" w:eastAsia="仿宋_GB2312"/>
          <w:b/>
          <w:bCs/>
          <w:kern w:val="0"/>
          <w:sz w:val="32"/>
          <w:szCs w:val="32"/>
        </w:rPr>
        <w:t>良</w:t>
      </w:r>
      <w:r>
        <w:rPr>
          <w:rStyle w:val="14"/>
          <w:rFonts w:eastAsia="仿宋_GB2312"/>
          <w:b/>
          <w:bCs/>
          <w:kern w:val="0"/>
          <w:sz w:val="32"/>
          <w:szCs w:val="32"/>
        </w:rPr>
        <w:footnoteReference w:id="0"/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tabs>
          <w:tab w:val="left" w:pos="851"/>
        </w:tabs>
        <w:spacing w:line="360" w:lineRule="auto"/>
        <w:ind w:firstLine="640" w:firstLineChars="200"/>
        <w:rPr>
          <w:rFonts w:ascii="黑体" w:hAnsi="黑体" w:eastAsia="黑体" w:cs="仿宋_GB2312"/>
          <w:kern w:val="0"/>
          <w:sz w:val="32"/>
          <w:szCs w:val="32"/>
        </w:rPr>
      </w:pPr>
      <w:bookmarkStart w:id="0" w:name="_Hlk102085659"/>
      <w:r>
        <w:rPr>
          <w:rFonts w:hint="eastAsia" w:ascii="黑体" w:hAnsi="黑体" w:eastAsia="黑体" w:cs="仿宋_GB2312"/>
          <w:kern w:val="0"/>
          <w:sz w:val="32"/>
          <w:szCs w:val="32"/>
        </w:rPr>
        <w:t>三、</w:t>
      </w:r>
      <w:r>
        <w:rPr>
          <w:rFonts w:ascii="黑体" w:hAnsi="黑体" w:eastAsia="黑体" w:cs="仿宋_GB2312"/>
          <w:kern w:val="0"/>
          <w:sz w:val="32"/>
          <w:szCs w:val="32"/>
        </w:rPr>
        <w:t>主要问题</w:t>
      </w:r>
    </w:p>
    <w:p>
      <w:pPr>
        <w:ind w:firstLine="642" w:firstLineChars="200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（一）政策资金投向未倾斜“三农”发展短板</w:t>
      </w:r>
    </w:p>
    <w:p>
      <w:pPr>
        <w:ind w:firstLine="640" w:firstLineChars="200"/>
        <w:rPr>
          <w:rFonts w:hint="default" w:ascii="仿宋_GB2312" w:hAnsi="仿宋" w:eastAsia="仿宋_GB2312" w:cs="仿宋_GB2312"/>
          <w:kern w:val="0"/>
          <w:sz w:val="32"/>
          <w:szCs w:val="32"/>
          <w:lang w:val="en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《绍兴市农业农村高质量发展“十四五”规划》指出绍兴市农业农村现代化有四大短板，其中与1+9政策相关的主要为一是农业现代化进程存在“速度短板”，二是农业经营主体存在“实力短板”，均为农业产业短板。绍兴市2</w:t>
      </w:r>
      <w:r>
        <w:rPr>
          <w:rFonts w:ascii="仿宋_GB2312" w:hAnsi="仿宋" w:eastAsia="仿宋_GB2312" w:cs="仿宋_GB2312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年政策兑现资金流向农业、农村、农民分别为</w:t>
      </w:r>
      <w:r>
        <w:rPr>
          <w:rFonts w:ascii="仿宋_GB2312" w:hAnsi="仿宋" w:eastAsia="仿宋_GB2312" w:cs="仿宋_GB2312"/>
          <w:kern w:val="0"/>
          <w:sz w:val="32"/>
          <w:szCs w:val="32"/>
        </w:rPr>
        <w:t>28.80%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、</w:t>
      </w:r>
      <w:r>
        <w:rPr>
          <w:rFonts w:ascii="仿宋_GB2312" w:hAnsi="仿宋" w:eastAsia="仿宋_GB2312" w:cs="仿宋_GB2312"/>
          <w:kern w:val="0"/>
          <w:sz w:val="32"/>
          <w:szCs w:val="32"/>
        </w:rPr>
        <w:t>71.04%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、</w:t>
      </w:r>
      <w:r>
        <w:rPr>
          <w:rFonts w:ascii="仿宋_GB2312" w:hAnsi="仿宋" w:eastAsia="仿宋_GB2312" w:cs="仿宋_GB2312"/>
          <w:kern w:val="0"/>
          <w:sz w:val="32"/>
          <w:szCs w:val="32"/>
        </w:rPr>
        <w:t>0.16%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，政策资金未向短板进行倾斜</w:t>
      </w:r>
      <w:r>
        <w:rPr>
          <w:rFonts w:hint="default" w:ascii="仿宋_GB2312" w:hAnsi="仿宋" w:eastAsia="仿宋_GB2312" w:cs="仿宋_GB2312"/>
          <w:kern w:val="0"/>
          <w:sz w:val="32"/>
          <w:szCs w:val="32"/>
          <w:lang w:val="en"/>
        </w:rPr>
        <w:t>。</w:t>
      </w:r>
    </w:p>
    <w:p>
      <w:pPr>
        <w:ind w:firstLine="642" w:firstLineChars="200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（二）政策条款未覆盖农业全产业链条</w:t>
      </w:r>
    </w:p>
    <w:p>
      <w:pPr>
        <w:ind w:firstLine="642" w:firstLineChars="200"/>
        <w:rPr>
          <w:rFonts w:ascii="仿宋_GB2312" w:hAnsi="仿宋" w:eastAsia="仿宋_GB2312" w:cs="仿宋_GB2312"/>
          <w:b/>
          <w:bCs/>
          <w:kern w:val="0"/>
          <w:sz w:val="32"/>
          <w:szCs w:val="32"/>
        </w:rPr>
      </w:pPr>
      <w:bookmarkStart w:id="1" w:name="_Hlk101686711"/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1</w:t>
      </w:r>
      <w:r>
        <w:rPr>
          <w:rFonts w:ascii="仿宋_GB2312" w:hAnsi="仿宋" w:eastAsia="仿宋_GB2312" w:cs="仿宋_GB2312"/>
          <w:b/>
          <w:bCs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农业深加工产业发展协同政策缺乏，附加值较低</w:t>
      </w:r>
    </w:p>
    <w:p>
      <w:pPr>
        <w:ind w:firstLine="640" w:firstLineChars="200"/>
        <w:rPr>
          <w:rFonts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绍兴市</w:t>
      </w:r>
      <w:r>
        <w:rPr>
          <w:rFonts w:ascii="仿宋_GB2312" w:hAnsi="仿宋" w:eastAsia="仿宋_GB2312" w:cs="仿宋_GB2312"/>
          <w:kern w:val="0"/>
          <w:sz w:val="32"/>
          <w:szCs w:val="32"/>
        </w:rPr>
        <w:t>2021年省级以上农业龙头企业48家，占浙江省省级以上农业龙头企业的8.33%，处于全省平均水平以下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。经现场走访，目前农业企业普遍不愿进一步扩大规模，均反映规模越大亏损越大，</w:t>
      </w:r>
      <w:r>
        <w:rPr>
          <w:rFonts w:ascii="仿宋_GB2312" w:hAnsi="仿宋" w:eastAsia="仿宋_GB2312" w:cs="仿宋_GB2312"/>
          <w:kern w:val="0"/>
          <w:sz w:val="32"/>
          <w:szCs w:val="32"/>
        </w:rPr>
        <w:t>其原因是一二三产融合发展程度还不深，多数农产品仍以产地销售为主，加工的农产品也是初级加工多、精深加工少。</w:t>
      </w:r>
    </w:p>
    <w:p>
      <w:pPr>
        <w:ind w:firstLine="642" w:firstLineChars="200"/>
        <w:rPr>
          <w:rFonts w:ascii="仿宋_GB2312" w:hAnsi="仿宋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2</w:t>
      </w:r>
      <w:r>
        <w:rPr>
          <w:rFonts w:ascii="仿宋_GB2312" w:hAnsi="仿宋" w:eastAsia="仿宋_GB2312" w:cs="仿宋_GB2312"/>
          <w:b/>
          <w:bCs/>
          <w:kern w:val="0"/>
          <w:sz w:val="32"/>
          <w:szCs w:val="32"/>
        </w:rPr>
        <w:t>.农产品电商高质量发展</w:t>
      </w: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不够重视，</w:t>
      </w:r>
      <w:r>
        <w:rPr>
          <w:rFonts w:ascii="仿宋_GB2312" w:hAnsi="仿宋" w:eastAsia="仿宋_GB2312" w:cs="仿宋_GB2312"/>
          <w:b/>
          <w:bCs/>
          <w:kern w:val="0"/>
          <w:sz w:val="32"/>
          <w:szCs w:val="32"/>
        </w:rPr>
        <w:t>产业数字化转型</w:t>
      </w: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弱</w:t>
      </w:r>
    </w:p>
    <w:p>
      <w:pPr>
        <w:ind w:firstLine="642" w:firstLineChars="200"/>
        <w:rPr>
          <w:rFonts w:ascii="仿宋_GB2312" w:hAnsi="仿宋" w:eastAsia="仿宋_GB2312" w:cs="仿宋_GB2312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bCs/>
          <w:kern w:val="0"/>
          <w:sz w:val="32"/>
          <w:szCs w:val="32"/>
        </w:rPr>
        <w:t>一是</w:t>
      </w: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不够重视农产品电商发展。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根据《“数商兴农”：从阿里平台看农产品电商高质量发展》报告，2</w:t>
      </w:r>
      <w:r>
        <w:rPr>
          <w:rFonts w:ascii="仿宋_GB2312" w:hAnsi="仿宋" w:eastAsia="仿宋_GB2312" w:cs="仿宋_GB2312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年浙江省列入全国农产品数字化百强县共1</w:t>
      </w:r>
      <w:r>
        <w:rPr>
          <w:rFonts w:ascii="仿宋_GB2312" w:hAnsi="仿宋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个县，其中绍兴市无区（县、市）进入百强名单。</w:t>
      </w:r>
      <w:r>
        <w:rPr>
          <w:rFonts w:ascii="仿宋_GB2312" w:hAnsi="仿宋" w:eastAsia="仿宋_GB2312" w:cs="仿宋_GB2312"/>
          <w:kern w:val="0"/>
          <w:sz w:val="32"/>
          <w:szCs w:val="32"/>
        </w:rPr>
        <w:t>评价人员查询抖音等短视频平台发现，绍兴地区网红经济热度显著低于温州等地区，农产品“网红经济”的发展水平处于相对落后水平，未有效迎合目前中国经济发展的新常态。</w:t>
      </w:r>
      <w:r>
        <w:rPr>
          <w:rFonts w:hint="eastAsia" w:ascii="仿宋_GB2312" w:hAnsi="仿宋" w:eastAsia="仿宋_GB2312" w:cs="仿宋_GB2312"/>
          <w:b/>
          <w:bCs/>
          <w:kern w:val="0"/>
          <w:sz w:val="32"/>
          <w:szCs w:val="32"/>
        </w:rPr>
        <w:t>二是不够重视产业数字化转型。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根据《浙江省农业农村厅关于公布第一批数字农业工厂认定结果的通知》（浙农字函〔</w:t>
      </w:r>
      <w:r>
        <w:rPr>
          <w:rFonts w:ascii="仿宋_GB2312" w:hAnsi="仿宋" w:eastAsia="仿宋_GB2312" w:cs="仿宋_GB2312"/>
          <w:kern w:val="0"/>
          <w:sz w:val="32"/>
          <w:szCs w:val="32"/>
        </w:rPr>
        <w:t>2021〕913号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），绍兴市共有1</w:t>
      </w:r>
      <w:r>
        <w:rPr>
          <w:rFonts w:ascii="仿宋_GB2312" w:hAnsi="仿宋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家入选省级数字农业工厂名单，占全省的</w:t>
      </w:r>
      <w:r>
        <w:rPr>
          <w:rFonts w:ascii="仿宋_GB2312" w:hAnsi="仿宋" w:eastAsia="仿宋_GB2312" w:cs="仿宋_GB2312"/>
          <w:kern w:val="0"/>
          <w:sz w:val="32"/>
          <w:szCs w:val="32"/>
        </w:rPr>
        <w:t>6.19%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，处于全省平均水平以下。目前政策中涉及产业数字化的政策条款共</w:t>
      </w:r>
      <w:r>
        <w:rPr>
          <w:rFonts w:ascii="仿宋_GB2312" w:hAnsi="仿宋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条，占政策的</w:t>
      </w:r>
      <w:r>
        <w:rPr>
          <w:rFonts w:ascii="仿宋_GB2312" w:hAnsi="仿宋" w:eastAsia="仿宋_GB2312" w:cs="仿宋_GB2312"/>
          <w:kern w:val="0"/>
          <w:sz w:val="32"/>
          <w:szCs w:val="32"/>
        </w:rPr>
        <w:t>8.33%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，2</w:t>
      </w:r>
      <w:r>
        <w:rPr>
          <w:rFonts w:ascii="仿宋_GB2312" w:hAnsi="仿宋" w:eastAsia="仿宋_GB2312" w:cs="仿宋_GB2312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年无兑现资金，产业数字化转型效果不佳。</w:t>
      </w:r>
    </w:p>
    <w:p>
      <w:pPr>
        <w:widowControl/>
        <w:shd w:val="clear" w:color="auto" w:fill="FFFFFF"/>
        <w:ind w:firstLine="642" w:firstLineChars="200"/>
        <w:outlineLvl w:val="1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bookmarkStart w:id="2" w:name="_Hlk101715098"/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（三）政策未贴近农村土地实际情况导致空转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针对“鼓励整畈、整村土地流转，当年新流转面积达到200亩及以上，或达到整村流转标准的，上述以奖代补标准提高到每亩500元”的政策，经现场走访后，评价组发现政策中要求的“新流转面积”系从未流转过的面积，非当年重新流转面积，全市6个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区（县、市）</w:t>
      </w:r>
      <w:r>
        <w:rPr>
          <w:rFonts w:hint="eastAsia" w:ascii="仿宋_GB2312" w:hAnsi="仿宋" w:eastAsia="仿宋_GB2312" w:cs="仿宋_GB2312"/>
          <w:sz w:val="32"/>
          <w:szCs w:val="32"/>
        </w:rPr>
        <w:t>2021年无符合该条件的主体，该政策实际处于空转状态。</w:t>
      </w:r>
    </w:p>
    <w:bookmarkEnd w:id="0"/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bookmarkStart w:id="3" w:name="_Hlk102086356"/>
      <w:r>
        <w:rPr>
          <w:rFonts w:hint="eastAsia" w:ascii="黑体" w:hAnsi="黑体" w:eastAsia="黑体" w:cs="Times New Roman"/>
          <w:sz w:val="32"/>
          <w:szCs w:val="32"/>
        </w:rPr>
        <w:t>四、对策建议</w:t>
      </w:r>
    </w:p>
    <w:p>
      <w:pPr>
        <w:widowControl/>
        <w:shd w:val="clear" w:color="auto" w:fill="FFFFFF"/>
        <w:ind w:firstLine="642" w:firstLineChars="200"/>
        <w:outlineLvl w:val="1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（一）优化资金倾斜力度，弥补农业现代化进程短板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建议对</w:t>
      </w:r>
      <w:r>
        <w:rPr>
          <w:rFonts w:hint="eastAsia" w:ascii="仿宋_GB2312" w:hAnsi="仿宋" w:eastAsia="仿宋_GB2312" w:cs="仿宋_GB2312"/>
          <w:sz w:val="32"/>
          <w:szCs w:val="32"/>
        </w:rPr>
        <w:t>《关于加快推动“三农”高质量发展的若干政策》（绍政办发〔2021〕39号）进行修订，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将更多财政资金用于第六条“发展农产品精深加工”、第八条“促进农村电子商务发展”、第十条“做大做强农业龙头企业”、第十一条“培优家庭林场、农民专业合作社”等促进农业现代化发展的政策条款，更好的弥补农业现代化发展进程中的短板。</w:t>
      </w:r>
    </w:p>
    <w:p>
      <w:pPr>
        <w:widowControl/>
        <w:shd w:val="clear" w:color="auto" w:fill="FFFFFF"/>
        <w:ind w:firstLine="642" w:firstLineChars="200"/>
        <w:outlineLvl w:val="1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（二）完善奖补政策导向，促进农业全产业链建设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建议对《绍兴市加快推进工业经济高质量发展若干政策》（绍政办发〔</w:t>
      </w:r>
      <w:r>
        <w:rPr>
          <w:rFonts w:ascii="仿宋_GB2312" w:hAnsi="仿宋" w:eastAsia="仿宋_GB2312" w:cs="仿宋_GB2312"/>
          <w:kern w:val="0"/>
          <w:sz w:val="32"/>
          <w:szCs w:val="32"/>
        </w:rPr>
        <w:t>2021〕29 号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）第八条“传承发展历史经典产业”进行完善，扩大对农业加工企业的奖补对象，促进农业生产工业化，以弥补《绍兴市农业农村高质量发展“十四五”规划》提出的农产品精深加工少的短板。同时对</w:t>
      </w:r>
      <w:r>
        <w:rPr>
          <w:rFonts w:hint="eastAsia" w:ascii="仿宋_GB2312" w:hAnsi="仿宋" w:eastAsia="仿宋_GB2312" w:cs="仿宋_GB2312"/>
          <w:sz w:val="32"/>
          <w:szCs w:val="32"/>
        </w:rPr>
        <w:t>《关于加快推动“三农”高质量发展的若干政策》（绍政办发〔2021〕39号）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第八条 “促进农村电子商务发展”进行完善，扩大农产品电商奖补的对象以及网络销售的平台，以促进绍兴市特色农产品销售渠道的拓展，从而推动农业全产业链建设。</w:t>
      </w:r>
    </w:p>
    <w:p>
      <w:pPr>
        <w:widowControl/>
        <w:shd w:val="clear" w:color="auto" w:fill="FFFFFF"/>
        <w:ind w:firstLine="642" w:firstLineChars="200"/>
        <w:outlineLvl w:val="1"/>
        <w:rPr>
          <w:rFonts w:ascii="楷体" w:hAnsi="楷体" w:eastAsia="楷体" w:cs="仿宋_GB2312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kern w:val="0"/>
          <w:sz w:val="32"/>
          <w:szCs w:val="32"/>
        </w:rPr>
        <w:t>（三）优化奖补对象门槛，加快农业数字化转型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建议对</w:t>
      </w:r>
      <w:r>
        <w:rPr>
          <w:rFonts w:hint="eastAsia" w:ascii="仿宋_GB2312" w:hAnsi="仿宋" w:eastAsia="仿宋_GB2312" w:cs="仿宋_GB2312"/>
          <w:sz w:val="32"/>
          <w:szCs w:val="32"/>
        </w:rPr>
        <w:t>《关于加快推动“三农”高质量发展的若干政策》（绍政办发〔2021〕39号）第六条“发展农产品精深加工”进行优化，适当降低农业数字化项目奖补的门槛，增加对非省级数字农业工厂的数字化项目建设的政策引导，支持智慧农业，以促进农业数字化的转型。</w:t>
      </w:r>
    </w:p>
    <w:bookmarkEnd w:id="3"/>
    <w:p>
      <w:pPr>
        <w:widowControl/>
        <w:shd w:val="clear" w:color="auto" w:fill="FFFFFF"/>
        <w:ind w:firstLine="640" w:firstLineChars="200"/>
        <w:outlineLvl w:val="1"/>
        <w:rPr>
          <w:rFonts w:ascii="仿宋_GB2312" w:hAnsi="仿宋" w:eastAsia="仿宋_GB2312" w:cs="仿宋_GB2312"/>
          <w:sz w:val="32"/>
          <w:szCs w:val="32"/>
        </w:rPr>
      </w:pPr>
    </w:p>
    <w:bookmarkEnd w:id="1"/>
    <w:bookmarkEnd w:id="2"/>
    <w:p>
      <w:pPr>
        <w:shd w:val="clear" w:color="auto" w:fill="FFFFFF"/>
        <w:spacing w:line="360" w:lineRule="auto"/>
        <w:rPr>
          <w:rFonts w:ascii="仿宋_GB2312" w:hAnsi="仿宋" w:eastAsia="仿宋_GB2312" w:cs="仿宋_GB2312"/>
          <w:kern w:val="0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entury Gothic">
    <w:altName w:val="FreeSans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仿宋" w:hAnsi="仿宋" w:eastAsia="仿宋"/>
        <w:sz w:val="20"/>
        <w:szCs w:val="20"/>
      </w:rPr>
    </w:pPr>
    <w:r>
      <w:rPr>
        <w:rFonts w:hint="eastAsia" w:ascii="仿宋" w:hAnsi="仿宋" w:eastAsia="仿宋"/>
        <w:sz w:val="20"/>
        <w:szCs w:val="20"/>
      </w:rPr>
      <w:t>第</w:t>
    </w:r>
    <w:r>
      <w:rPr>
        <w:rFonts w:ascii="仿宋" w:hAnsi="仿宋" w:eastAsia="仿宋"/>
        <w:sz w:val="20"/>
        <w:szCs w:val="20"/>
      </w:rPr>
      <w:t xml:space="preserve"> </w:t>
    </w:r>
    <w:r>
      <w:rPr>
        <w:rFonts w:ascii="仿宋" w:hAnsi="仿宋" w:eastAsia="仿宋"/>
        <w:sz w:val="20"/>
        <w:szCs w:val="20"/>
      </w:rPr>
      <w:fldChar w:fldCharType="begin"/>
    </w:r>
    <w:r>
      <w:rPr>
        <w:rFonts w:ascii="仿宋" w:hAnsi="仿宋" w:eastAsia="仿宋"/>
        <w:sz w:val="20"/>
        <w:szCs w:val="20"/>
      </w:rPr>
      <w:instrText xml:space="preserve"> PAGE  \* Arabic  \* MERGEFORMAT </w:instrText>
    </w:r>
    <w:r>
      <w:rPr>
        <w:rFonts w:ascii="仿宋" w:hAnsi="仿宋" w:eastAsia="仿宋"/>
        <w:sz w:val="20"/>
        <w:szCs w:val="20"/>
      </w:rPr>
      <w:fldChar w:fldCharType="separate"/>
    </w:r>
    <w:r>
      <w:rPr>
        <w:rFonts w:ascii="仿宋" w:hAnsi="仿宋" w:eastAsia="仿宋"/>
        <w:sz w:val="20"/>
        <w:szCs w:val="20"/>
      </w:rPr>
      <w:t>10</w:t>
    </w:r>
    <w:r>
      <w:rPr>
        <w:rFonts w:ascii="仿宋" w:hAnsi="仿宋" w:eastAsia="仿宋"/>
        <w:sz w:val="20"/>
        <w:szCs w:val="20"/>
      </w:rPr>
      <w:fldChar w:fldCharType="end"/>
    </w:r>
    <w:r>
      <w:rPr>
        <w:rFonts w:ascii="仿宋" w:hAnsi="仿宋" w:eastAsia="仿宋"/>
        <w:sz w:val="20"/>
        <w:szCs w:val="20"/>
      </w:rPr>
      <w:t xml:space="preserve"> </w:t>
    </w:r>
    <w:r>
      <w:rPr>
        <w:rFonts w:hint="eastAsia" w:ascii="仿宋" w:hAnsi="仿宋" w:eastAsia="仿宋"/>
        <w:sz w:val="20"/>
        <w:szCs w:val="20"/>
      </w:rPr>
      <w:t xml:space="preserve">页 共 </w:t>
    </w:r>
    <w:r>
      <w:rPr>
        <w:rFonts w:ascii="仿宋" w:hAnsi="仿宋" w:eastAsia="仿宋"/>
        <w:sz w:val="20"/>
        <w:szCs w:val="20"/>
      </w:rPr>
      <w:fldChar w:fldCharType="begin"/>
    </w:r>
    <w:r>
      <w:rPr>
        <w:rFonts w:ascii="仿宋" w:hAnsi="仿宋" w:eastAsia="仿宋"/>
        <w:sz w:val="20"/>
        <w:szCs w:val="20"/>
      </w:rPr>
      <w:instrText xml:space="preserve"> NUMPAGES  \* Arabic  \* MERGEFORMAT </w:instrText>
    </w:r>
    <w:r>
      <w:rPr>
        <w:rFonts w:ascii="仿宋" w:hAnsi="仿宋" w:eastAsia="仿宋"/>
        <w:sz w:val="20"/>
        <w:szCs w:val="20"/>
      </w:rPr>
      <w:fldChar w:fldCharType="separate"/>
    </w:r>
    <w:r>
      <w:rPr>
        <w:rFonts w:ascii="仿宋" w:hAnsi="仿宋" w:eastAsia="仿宋"/>
        <w:sz w:val="20"/>
        <w:szCs w:val="20"/>
      </w:rPr>
      <w:t>13</w:t>
    </w:r>
    <w:r>
      <w:rPr>
        <w:rFonts w:ascii="仿宋" w:hAnsi="仿宋" w:eastAsia="仿宋"/>
        <w:sz w:val="20"/>
        <w:szCs w:val="20"/>
      </w:rPr>
      <w:fldChar w:fldCharType="end"/>
    </w:r>
    <w:r>
      <w:rPr>
        <w:rFonts w:ascii="仿宋" w:hAnsi="仿宋" w:eastAsia="仿宋"/>
        <w:sz w:val="20"/>
        <w:szCs w:val="20"/>
      </w:rPr>
      <w:t xml:space="preserve"> </w:t>
    </w:r>
    <w:r>
      <w:rPr>
        <w:rFonts w:hint="eastAsia" w:ascii="仿宋" w:hAnsi="仿宋" w:eastAsia="仿宋"/>
        <w:sz w:val="20"/>
        <w:szCs w:val="20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9"/>
      </w:pPr>
      <w:r>
        <w:rPr>
          <w:rStyle w:val="14"/>
        </w:rPr>
        <w:footnoteRef/>
      </w:r>
      <w:r>
        <w:t xml:space="preserve"> </w:t>
      </w:r>
      <w:r>
        <w:rPr>
          <w:rFonts w:hint="eastAsia" w:ascii="仿宋_GB2312" w:hAnsi="仿宋_GB2312" w:eastAsia="仿宋_GB2312" w:cs="仿宋_GB2312"/>
          <w:sz w:val="22"/>
        </w:rPr>
        <w:t>本次评价结果根据综合得分率划分为四个档：90（含）—100分为优、80（含）—90分为良、60（含）—80分为中、60分以下为差。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2D7"/>
    <w:rsid w:val="00004683"/>
    <w:rsid w:val="000056A0"/>
    <w:rsid w:val="00013166"/>
    <w:rsid w:val="0001787E"/>
    <w:rsid w:val="00023453"/>
    <w:rsid w:val="00051B52"/>
    <w:rsid w:val="0005450D"/>
    <w:rsid w:val="000763A1"/>
    <w:rsid w:val="0008768A"/>
    <w:rsid w:val="000A17DD"/>
    <w:rsid w:val="000C4626"/>
    <w:rsid w:val="0010591C"/>
    <w:rsid w:val="0017395D"/>
    <w:rsid w:val="00183371"/>
    <w:rsid w:val="001B340E"/>
    <w:rsid w:val="001B5581"/>
    <w:rsid w:val="001D73E0"/>
    <w:rsid w:val="00212CCE"/>
    <w:rsid w:val="0021407C"/>
    <w:rsid w:val="002173EF"/>
    <w:rsid w:val="002205F8"/>
    <w:rsid w:val="00261D97"/>
    <w:rsid w:val="00275BEA"/>
    <w:rsid w:val="002871E6"/>
    <w:rsid w:val="00291311"/>
    <w:rsid w:val="002A5DB4"/>
    <w:rsid w:val="002B0FB4"/>
    <w:rsid w:val="002D36A3"/>
    <w:rsid w:val="002E76EE"/>
    <w:rsid w:val="002F3042"/>
    <w:rsid w:val="00301A66"/>
    <w:rsid w:val="003158C9"/>
    <w:rsid w:val="003533DF"/>
    <w:rsid w:val="00360346"/>
    <w:rsid w:val="00364F03"/>
    <w:rsid w:val="00366F12"/>
    <w:rsid w:val="003863B7"/>
    <w:rsid w:val="0038673A"/>
    <w:rsid w:val="003A42D8"/>
    <w:rsid w:val="003A4B8A"/>
    <w:rsid w:val="003C5620"/>
    <w:rsid w:val="003D3D7F"/>
    <w:rsid w:val="003D7F9C"/>
    <w:rsid w:val="003E15B6"/>
    <w:rsid w:val="003E71FA"/>
    <w:rsid w:val="00473533"/>
    <w:rsid w:val="0047366B"/>
    <w:rsid w:val="00473A10"/>
    <w:rsid w:val="00487D1A"/>
    <w:rsid w:val="00490AA6"/>
    <w:rsid w:val="004B6E5C"/>
    <w:rsid w:val="004F016C"/>
    <w:rsid w:val="00516B02"/>
    <w:rsid w:val="00522B47"/>
    <w:rsid w:val="0052609F"/>
    <w:rsid w:val="00530343"/>
    <w:rsid w:val="00536536"/>
    <w:rsid w:val="00545D48"/>
    <w:rsid w:val="00555CFA"/>
    <w:rsid w:val="005606FC"/>
    <w:rsid w:val="005714FC"/>
    <w:rsid w:val="005723A4"/>
    <w:rsid w:val="005B48F0"/>
    <w:rsid w:val="005C1C32"/>
    <w:rsid w:val="005D52D7"/>
    <w:rsid w:val="005F2876"/>
    <w:rsid w:val="005F7265"/>
    <w:rsid w:val="00625B34"/>
    <w:rsid w:val="00640C69"/>
    <w:rsid w:val="00646805"/>
    <w:rsid w:val="00651CB2"/>
    <w:rsid w:val="00662433"/>
    <w:rsid w:val="006732C1"/>
    <w:rsid w:val="006950CE"/>
    <w:rsid w:val="006956B1"/>
    <w:rsid w:val="006A15A9"/>
    <w:rsid w:val="006B6538"/>
    <w:rsid w:val="006C0D30"/>
    <w:rsid w:val="006D17D7"/>
    <w:rsid w:val="006D324F"/>
    <w:rsid w:val="006F1D66"/>
    <w:rsid w:val="006F1D70"/>
    <w:rsid w:val="006F244F"/>
    <w:rsid w:val="00725961"/>
    <w:rsid w:val="0074002D"/>
    <w:rsid w:val="007571D9"/>
    <w:rsid w:val="007630BD"/>
    <w:rsid w:val="007701C6"/>
    <w:rsid w:val="00780A6A"/>
    <w:rsid w:val="007C18FA"/>
    <w:rsid w:val="007D2962"/>
    <w:rsid w:val="007E2135"/>
    <w:rsid w:val="007F3D02"/>
    <w:rsid w:val="007F6716"/>
    <w:rsid w:val="007F7D1D"/>
    <w:rsid w:val="00805ACF"/>
    <w:rsid w:val="00852582"/>
    <w:rsid w:val="00854B55"/>
    <w:rsid w:val="00885BD4"/>
    <w:rsid w:val="00886667"/>
    <w:rsid w:val="008879D2"/>
    <w:rsid w:val="00895BB8"/>
    <w:rsid w:val="008A1BAC"/>
    <w:rsid w:val="008A3A61"/>
    <w:rsid w:val="008B0DEF"/>
    <w:rsid w:val="008F3448"/>
    <w:rsid w:val="00912B3C"/>
    <w:rsid w:val="00915428"/>
    <w:rsid w:val="00917F98"/>
    <w:rsid w:val="00983000"/>
    <w:rsid w:val="009867F6"/>
    <w:rsid w:val="009917AF"/>
    <w:rsid w:val="009C3553"/>
    <w:rsid w:val="009F5B38"/>
    <w:rsid w:val="00A214C6"/>
    <w:rsid w:val="00A23155"/>
    <w:rsid w:val="00A4136E"/>
    <w:rsid w:val="00A52436"/>
    <w:rsid w:val="00A5616B"/>
    <w:rsid w:val="00A639B1"/>
    <w:rsid w:val="00A6612D"/>
    <w:rsid w:val="00AE4F47"/>
    <w:rsid w:val="00AF11D4"/>
    <w:rsid w:val="00AF4567"/>
    <w:rsid w:val="00AF5628"/>
    <w:rsid w:val="00B0557D"/>
    <w:rsid w:val="00B236CD"/>
    <w:rsid w:val="00B26EBA"/>
    <w:rsid w:val="00B32D58"/>
    <w:rsid w:val="00B549CC"/>
    <w:rsid w:val="00BA1387"/>
    <w:rsid w:val="00BD1144"/>
    <w:rsid w:val="00BD7858"/>
    <w:rsid w:val="00BE71B7"/>
    <w:rsid w:val="00C02030"/>
    <w:rsid w:val="00C657A4"/>
    <w:rsid w:val="00C967C6"/>
    <w:rsid w:val="00CA7362"/>
    <w:rsid w:val="00CF16F6"/>
    <w:rsid w:val="00D035A1"/>
    <w:rsid w:val="00D145CA"/>
    <w:rsid w:val="00D177AA"/>
    <w:rsid w:val="00D262F0"/>
    <w:rsid w:val="00D41DBA"/>
    <w:rsid w:val="00D52DB8"/>
    <w:rsid w:val="00D66177"/>
    <w:rsid w:val="00D83BEA"/>
    <w:rsid w:val="00D95EFD"/>
    <w:rsid w:val="00D97C19"/>
    <w:rsid w:val="00DA66C1"/>
    <w:rsid w:val="00DB0F15"/>
    <w:rsid w:val="00DC1946"/>
    <w:rsid w:val="00DC38F3"/>
    <w:rsid w:val="00DF00E8"/>
    <w:rsid w:val="00DF435C"/>
    <w:rsid w:val="00E00D1B"/>
    <w:rsid w:val="00E13B02"/>
    <w:rsid w:val="00E64EA6"/>
    <w:rsid w:val="00EA3BEE"/>
    <w:rsid w:val="00EA6293"/>
    <w:rsid w:val="00EB17CA"/>
    <w:rsid w:val="00EC6065"/>
    <w:rsid w:val="00ED67B8"/>
    <w:rsid w:val="00ED786A"/>
    <w:rsid w:val="00EE1118"/>
    <w:rsid w:val="00F1302A"/>
    <w:rsid w:val="00F221E3"/>
    <w:rsid w:val="00F43B32"/>
    <w:rsid w:val="00F44057"/>
    <w:rsid w:val="00F67254"/>
    <w:rsid w:val="00F94660"/>
    <w:rsid w:val="00FA2BD1"/>
    <w:rsid w:val="00FA6062"/>
    <w:rsid w:val="00FB097E"/>
    <w:rsid w:val="00FB3F4D"/>
    <w:rsid w:val="00FC6082"/>
    <w:rsid w:val="00FD19E7"/>
    <w:rsid w:val="00FD5EEC"/>
    <w:rsid w:val="00FE68FF"/>
    <w:rsid w:val="0CED2DDC"/>
    <w:rsid w:val="10561CA8"/>
    <w:rsid w:val="17AB5C68"/>
    <w:rsid w:val="1FEB44AF"/>
    <w:rsid w:val="2D7334D8"/>
    <w:rsid w:val="2F37FC61"/>
    <w:rsid w:val="2FF5B62A"/>
    <w:rsid w:val="373FF794"/>
    <w:rsid w:val="3CF46284"/>
    <w:rsid w:val="6F1AD720"/>
    <w:rsid w:val="7E9C3212"/>
    <w:rsid w:val="9F7CA6E4"/>
    <w:rsid w:val="B2FEBC2B"/>
    <w:rsid w:val="BE3DFB46"/>
    <w:rsid w:val="DDFF89DF"/>
    <w:rsid w:val="DE73591B"/>
    <w:rsid w:val="E3FF8382"/>
    <w:rsid w:val="E6BF7534"/>
    <w:rsid w:val="F37F8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unhideWhenUsed/>
    <w:qFormat/>
    <w:uiPriority w:val="99"/>
    <w:pPr>
      <w:jc w:val="left"/>
    </w:pPr>
  </w:style>
  <w:style w:type="paragraph" w:styleId="4">
    <w:name w:val="Body Text"/>
    <w:basedOn w:val="1"/>
    <w:next w:val="5"/>
    <w:unhideWhenUsed/>
    <w:qFormat/>
    <w:uiPriority w:val="99"/>
    <w:pPr>
      <w:adjustRightInd w:val="0"/>
      <w:snapToGrid w:val="0"/>
      <w:spacing w:line="580" w:lineRule="exact"/>
      <w:ind w:firstLine="641"/>
    </w:pPr>
    <w:rPr>
      <w:snapToGrid w:val="0"/>
    </w:rPr>
  </w:style>
  <w:style w:type="paragraph" w:styleId="5">
    <w:name w:val="Body Text First Indent"/>
    <w:basedOn w:val="4"/>
    <w:next w:val="6"/>
    <w:unhideWhenUsed/>
    <w:qFormat/>
    <w:uiPriority w:val="99"/>
    <w:pPr>
      <w:spacing w:line="580" w:lineRule="exact"/>
      <w:ind w:firstLine="641"/>
    </w:pPr>
    <w:rPr>
      <w:snapToGrid w:val="0"/>
      <w:sz w:val="21"/>
    </w:rPr>
  </w:style>
  <w:style w:type="paragraph" w:styleId="6">
    <w:name w:val="toc 6"/>
    <w:basedOn w:val="1"/>
    <w:next w:val="1"/>
    <w:unhideWhenUsed/>
    <w:qFormat/>
    <w:uiPriority w:val="39"/>
    <w:pPr>
      <w:ind w:left="1050"/>
      <w:jc w:val="left"/>
    </w:pPr>
    <w:rPr>
      <w:rFonts w:ascii="Century Gothic" w:hAnsi="Century Gothic"/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18"/>
    <w:qFormat/>
    <w:uiPriority w:val="0"/>
    <w:pPr>
      <w:snapToGrid w:val="0"/>
      <w:jc w:val="left"/>
    </w:pPr>
    <w:rPr>
      <w:rFonts w:ascii="Calibri" w:hAnsi="Calibri" w:eastAsia="宋体" w:cs="Times New Roman"/>
      <w:sz w:val="18"/>
    </w:rPr>
  </w:style>
  <w:style w:type="paragraph" w:styleId="10">
    <w:name w:val="annotation subject"/>
    <w:basedOn w:val="3"/>
    <w:next w:val="3"/>
    <w:link w:val="20"/>
    <w:unhideWhenUsed/>
    <w:qFormat/>
    <w:uiPriority w:val="99"/>
    <w:rPr>
      <w:b/>
      <w:bCs/>
    </w:r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character" w:styleId="14">
    <w:name w:val="footnote reference"/>
    <w:basedOn w:val="12"/>
    <w:qFormat/>
    <w:uiPriority w:val="0"/>
    <w:rPr>
      <w:vertAlign w:val="superscript"/>
    </w:rPr>
  </w:style>
  <w:style w:type="character" w:customStyle="1" w:styleId="1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脚注文本 字符"/>
    <w:basedOn w:val="12"/>
    <w:link w:val="9"/>
    <w:qFormat/>
    <w:uiPriority w:val="0"/>
    <w:rPr>
      <w:rFonts w:ascii="Calibri" w:hAnsi="Calibri"/>
      <w:kern w:val="2"/>
      <w:sz w:val="18"/>
      <w:szCs w:val="22"/>
    </w:rPr>
  </w:style>
  <w:style w:type="character" w:customStyle="1" w:styleId="19">
    <w:name w:val="批注文字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1225</Words>
  <Characters>6985</Characters>
  <Lines>58</Lines>
  <Paragraphs>16</Paragraphs>
  <TotalTime>4</TotalTime>
  <ScaleCrop>false</ScaleCrop>
  <LinksUpToDate>false</LinksUpToDate>
  <CharactersWithSpaces>8194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2022-05-03T19:42:00Z</dcterms:created>
  <dc:creator>范祎家</dc:creator>
  <cp:lastModifiedBy>sxszf</cp:lastModifiedBy>
  <cp:lastPrinted>2022-05-02T13:10:00Z</cp:lastPrinted>
  <dcterms:modified xsi:type="dcterms:W3CDTF">2022-11-29T09:44:58Z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